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1D" w:rsidRDefault="0051181D" w:rsidP="0051181D">
      <w:pPr>
        <w:pStyle w:val="TableText"/>
      </w:pPr>
    </w:p>
    <w:p w:rsidR="0051181D" w:rsidRDefault="0051181D" w:rsidP="0051181D">
      <w:pPr>
        <w:widowControl w:val="0"/>
        <w:jc w:val="both"/>
      </w:pPr>
    </w:p>
    <w:p w:rsidR="0051181D" w:rsidRDefault="0051181D" w:rsidP="0051181D">
      <w:pPr>
        <w:widowControl w:val="0"/>
        <w:jc w:val="center"/>
        <w:rPr>
          <w:b/>
        </w:rPr>
      </w:pPr>
    </w:p>
    <w:p w:rsidR="0051181D" w:rsidRDefault="0051181D" w:rsidP="0051181D">
      <w:pPr>
        <w:pStyle w:val="Footer"/>
        <w:widowControl w:val="0"/>
        <w:tabs>
          <w:tab w:val="clear" w:pos="4153"/>
          <w:tab w:val="clear" w:pos="8306"/>
        </w:tabs>
      </w:pPr>
    </w:p>
    <w:tbl>
      <w:tblPr>
        <w:tblW w:w="9923" w:type="dxa"/>
        <w:tblInd w:w="-34" w:type="dxa"/>
        <w:tblLayout w:type="fixed"/>
        <w:tblLook w:val="0000" w:firstRow="0" w:lastRow="0" w:firstColumn="0" w:lastColumn="0" w:noHBand="0" w:noVBand="0"/>
      </w:tblPr>
      <w:tblGrid>
        <w:gridCol w:w="1702"/>
        <w:gridCol w:w="1417"/>
        <w:gridCol w:w="2835"/>
        <w:gridCol w:w="2410"/>
        <w:gridCol w:w="1559"/>
      </w:tblGrid>
      <w:tr w:rsidR="0051181D" w:rsidRPr="004D3C04" w:rsidTr="00C95AA5">
        <w:tblPrEx>
          <w:tblCellMar>
            <w:top w:w="0" w:type="dxa"/>
            <w:bottom w:w="0" w:type="dxa"/>
          </w:tblCellMar>
        </w:tblPrEx>
        <w:trPr>
          <w:cantSplit/>
        </w:trPr>
        <w:tc>
          <w:tcPr>
            <w:tcW w:w="1702" w:type="dxa"/>
          </w:tcPr>
          <w:p w:rsidR="0051181D" w:rsidRPr="004D3C04" w:rsidRDefault="0051181D" w:rsidP="00C95AA5">
            <w:pPr>
              <w:pStyle w:val="TableText"/>
            </w:pPr>
            <w:r w:rsidRPr="004D3C04">
              <w:t>SOP Number</w:t>
            </w:r>
          </w:p>
        </w:tc>
        <w:tc>
          <w:tcPr>
            <w:tcW w:w="8221" w:type="dxa"/>
            <w:gridSpan w:val="4"/>
          </w:tcPr>
          <w:p w:rsidR="0051181D" w:rsidRPr="004D3C04" w:rsidRDefault="00BD79C8" w:rsidP="00C95AA5">
            <w:r w:rsidRPr="004D3C04">
              <w:rPr>
                <w:b/>
                <w:bCs/>
              </w:rPr>
              <w:t>008</w:t>
            </w:r>
            <w:r w:rsidR="00BC1323" w:rsidRPr="004D3C04">
              <w:rPr>
                <w:b/>
                <w:bCs/>
              </w:rPr>
              <w:t>-PL</w:t>
            </w:r>
          </w:p>
        </w:tc>
      </w:tr>
      <w:tr w:rsidR="0051181D" w:rsidRPr="004D3C04" w:rsidTr="00C95AA5">
        <w:tblPrEx>
          <w:tblCellMar>
            <w:top w:w="0" w:type="dxa"/>
            <w:bottom w:w="0" w:type="dxa"/>
          </w:tblCellMar>
        </w:tblPrEx>
        <w:trPr>
          <w:cantSplit/>
          <w:trHeight w:hRule="exact" w:val="851"/>
        </w:trPr>
        <w:tc>
          <w:tcPr>
            <w:tcW w:w="1702" w:type="dxa"/>
          </w:tcPr>
          <w:p w:rsidR="0051181D" w:rsidRPr="004D3C04" w:rsidRDefault="0051181D" w:rsidP="00C95AA5">
            <w:pPr>
              <w:pStyle w:val="TableText"/>
            </w:pPr>
            <w:r w:rsidRPr="004D3C04">
              <w:t>SOP Title</w:t>
            </w:r>
          </w:p>
        </w:tc>
        <w:tc>
          <w:tcPr>
            <w:tcW w:w="8221" w:type="dxa"/>
            <w:gridSpan w:val="4"/>
          </w:tcPr>
          <w:p w:rsidR="0051181D" w:rsidRPr="004D3C04" w:rsidRDefault="00BE5B1F" w:rsidP="00BE5B1F">
            <w:pPr>
              <w:tabs>
                <w:tab w:val="left" w:pos="2550"/>
              </w:tabs>
              <w:rPr>
                <w:b/>
                <w:bCs/>
              </w:rPr>
            </w:pPr>
            <w:r w:rsidRPr="004D3C04">
              <w:rPr>
                <w:b/>
                <w:bCs/>
              </w:rPr>
              <w:t>Setting and Launching Pigs</w:t>
            </w:r>
          </w:p>
        </w:tc>
      </w:tr>
      <w:tr w:rsidR="0051181D" w:rsidRPr="004D3C04"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02" w:type="dxa"/>
            <w:tcBorders>
              <w:top w:val="nil"/>
              <w:left w:val="nil"/>
              <w:bottom w:val="single" w:sz="4" w:space="0" w:color="auto"/>
              <w:right w:val="single" w:sz="4" w:space="0" w:color="auto"/>
            </w:tcBorders>
          </w:tcPr>
          <w:p w:rsidR="0051181D" w:rsidRPr="004D3C04" w:rsidRDefault="0051181D" w:rsidP="00C95AA5">
            <w:pPr>
              <w:pStyle w:val="TableText"/>
            </w:pPr>
          </w:p>
        </w:tc>
        <w:tc>
          <w:tcPr>
            <w:tcW w:w="1417" w:type="dxa"/>
            <w:tcBorders>
              <w:left w:val="nil"/>
            </w:tcBorders>
          </w:tcPr>
          <w:p w:rsidR="0051181D" w:rsidRPr="004D3C04" w:rsidRDefault="0051181D" w:rsidP="00C95AA5">
            <w:pPr>
              <w:pStyle w:val="TableText"/>
              <w:jc w:val="center"/>
            </w:pPr>
            <w:r w:rsidRPr="004D3C04">
              <w:t>NAME</w:t>
            </w:r>
          </w:p>
        </w:tc>
        <w:tc>
          <w:tcPr>
            <w:tcW w:w="2835" w:type="dxa"/>
            <w:tcBorders>
              <w:left w:val="nil"/>
              <w:right w:val="single" w:sz="4" w:space="0" w:color="auto"/>
            </w:tcBorders>
          </w:tcPr>
          <w:p w:rsidR="0051181D" w:rsidRPr="004D3C04" w:rsidRDefault="0051181D" w:rsidP="00C95AA5">
            <w:pPr>
              <w:pStyle w:val="TableText"/>
              <w:jc w:val="center"/>
            </w:pPr>
            <w:r w:rsidRPr="004D3C04">
              <w:t>TITLE</w:t>
            </w:r>
          </w:p>
        </w:tc>
        <w:tc>
          <w:tcPr>
            <w:tcW w:w="2410" w:type="dxa"/>
            <w:tcBorders>
              <w:left w:val="single" w:sz="4" w:space="0" w:color="auto"/>
            </w:tcBorders>
          </w:tcPr>
          <w:p w:rsidR="0051181D" w:rsidRPr="004D3C04" w:rsidRDefault="0051181D" w:rsidP="00C95AA5">
            <w:pPr>
              <w:pStyle w:val="TableText"/>
              <w:jc w:val="center"/>
            </w:pPr>
            <w:r w:rsidRPr="004D3C04">
              <w:t>SIGNATURE</w:t>
            </w:r>
          </w:p>
        </w:tc>
        <w:tc>
          <w:tcPr>
            <w:tcW w:w="1559" w:type="dxa"/>
          </w:tcPr>
          <w:p w:rsidR="0051181D" w:rsidRPr="004D3C04" w:rsidRDefault="0051181D" w:rsidP="00C95AA5">
            <w:pPr>
              <w:pStyle w:val="TableText"/>
              <w:jc w:val="center"/>
            </w:pPr>
            <w:r w:rsidRPr="004D3C04">
              <w:t>DATE</w:t>
            </w:r>
          </w:p>
        </w:tc>
      </w:tr>
      <w:tr w:rsidR="0051181D" w:rsidRPr="004D3C04"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tcBorders>
          </w:tcPr>
          <w:p w:rsidR="0051181D" w:rsidRPr="004D3C04" w:rsidRDefault="0051181D" w:rsidP="00C95AA5">
            <w:pPr>
              <w:pStyle w:val="TableText"/>
            </w:pPr>
            <w:r w:rsidRPr="004D3C04">
              <w:t>Author</w:t>
            </w:r>
          </w:p>
        </w:tc>
        <w:tc>
          <w:tcPr>
            <w:tcW w:w="1417" w:type="dxa"/>
          </w:tcPr>
          <w:p w:rsidR="0051181D" w:rsidRPr="004D3C04" w:rsidRDefault="00D62C2E" w:rsidP="00C95AA5">
            <w:pPr>
              <w:pStyle w:val="TableText"/>
            </w:pPr>
            <w:r w:rsidRPr="004D3C04">
              <w:t>Safety Team</w:t>
            </w:r>
          </w:p>
        </w:tc>
        <w:tc>
          <w:tcPr>
            <w:tcW w:w="2835" w:type="dxa"/>
          </w:tcPr>
          <w:p w:rsidR="0051181D" w:rsidRPr="004D3C04" w:rsidRDefault="00E17F3A" w:rsidP="00E17F3A">
            <w:pPr>
              <w:pStyle w:val="TableText"/>
              <w:jc w:val="center"/>
            </w:pPr>
            <w:r w:rsidRPr="004D3C04">
              <w:t>Safety Department</w:t>
            </w:r>
          </w:p>
        </w:tc>
        <w:tc>
          <w:tcPr>
            <w:tcW w:w="2410" w:type="dxa"/>
          </w:tcPr>
          <w:p w:rsidR="0051181D" w:rsidRPr="004D3C04" w:rsidRDefault="0051181D" w:rsidP="00C95AA5">
            <w:pPr>
              <w:pStyle w:val="TableText"/>
            </w:pPr>
          </w:p>
        </w:tc>
        <w:tc>
          <w:tcPr>
            <w:tcW w:w="1559" w:type="dxa"/>
          </w:tcPr>
          <w:p w:rsidR="0051181D" w:rsidRPr="004D3C04" w:rsidRDefault="00BE5B1F" w:rsidP="00BE5B1F">
            <w:pPr>
              <w:pStyle w:val="TableText"/>
            </w:pPr>
            <w:r w:rsidRPr="004D3C04">
              <w:t>7</w:t>
            </w:r>
            <w:r w:rsidR="00E17F3A" w:rsidRPr="004D3C04">
              <w:t>/1</w:t>
            </w:r>
            <w:r w:rsidRPr="004D3C04">
              <w:t>2</w:t>
            </w:r>
            <w:r w:rsidR="00E17F3A" w:rsidRPr="004D3C04">
              <w:t>/201</w:t>
            </w:r>
            <w:r w:rsidRPr="004D3C04">
              <w:t>8</w:t>
            </w:r>
          </w:p>
        </w:tc>
      </w:tr>
      <w:tr w:rsidR="0051181D" w:rsidRPr="004D3C04"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tcBorders>
          </w:tcPr>
          <w:p w:rsidR="0051181D" w:rsidRPr="004D3C04" w:rsidRDefault="0051181D" w:rsidP="00C95AA5">
            <w:pPr>
              <w:pStyle w:val="TableText"/>
            </w:pPr>
            <w:r w:rsidRPr="004D3C04">
              <w:t>Reviewer</w:t>
            </w:r>
          </w:p>
        </w:tc>
        <w:tc>
          <w:tcPr>
            <w:tcW w:w="1417" w:type="dxa"/>
          </w:tcPr>
          <w:p w:rsidR="0051181D" w:rsidRPr="004D3C04" w:rsidRDefault="00E17F3A" w:rsidP="00C95AA5">
            <w:pPr>
              <w:pStyle w:val="TableText"/>
            </w:pPr>
            <w:r w:rsidRPr="004D3C04">
              <w:t>Safety Committee</w:t>
            </w:r>
          </w:p>
        </w:tc>
        <w:tc>
          <w:tcPr>
            <w:tcW w:w="2835" w:type="dxa"/>
          </w:tcPr>
          <w:p w:rsidR="0051181D" w:rsidRPr="004D3C04" w:rsidRDefault="00E17F3A" w:rsidP="00E17F3A">
            <w:pPr>
              <w:pStyle w:val="TableText"/>
              <w:jc w:val="center"/>
            </w:pPr>
            <w:r w:rsidRPr="004D3C04">
              <w:t>Safety/Management</w:t>
            </w:r>
          </w:p>
        </w:tc>
        <w:tc>
          <w:tcPr>
            <w:tcW w:w="2410" w:type="dxa"/>
          </w:tcPr>
          <w:p w:rsidR="0051181D" w:rsidRPr="004D3C04" w:rsidRDefault="0051181D" w:rsidP="00C95AA5">
            <w:pPr>
              <w:pStyle w:val="TableText"/>
            </w:pPr>
          </w:p>
        </w:tc>
        <w:tc>
          <w:tcPr>
            <w:tcW w:w="1559" w:type="dxa"/>
          </w:tcPr>
          <w:p w:rsidR="0051181D" w:rsidRPr="004D3C04" w:rsidRDefault="00BE5B1F" w:rsidP="00C95AA5">
            <w:pPr>
              <w:pStyle w:val="TableText"/>
            </w:pPr>
            <w:r w:rsidRPr="004D3C04">
              <w:t>7/12/2018</w:t>
            </w:r>
          </w:p>
        </w:tc>
      </w:tr>
      <w:tr w:rsidR="0051181D" w:rsidRPr="004D3C04" w:rsidTr="00C95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7"/>
        </w:trPr>
        <w:tc>
          <w:tcPr>
            <w:tcW w:w="1702" w:type="dxa"/>
            <w:tcBorders>
              <w:top w:val="single" w:sz="4" w:space="0" w:color="auto"/>
              <w:left w:val="single" w:sz="4" w:space="0" w:color="auto"/>
              <w:bottom w:val="single" w:sz="4" w:space="0" w:color="auto"/>
              <w:right w:val="single" w:sz="4" w:space="0" w:color="auto"/>
            </w:tcBorders>
          </w:tcPr>
          <w:p w:rsidR="0051181D" w:rsidRPr="004D3C04" w:rsidRDefault="009E3E20" w:rsidP="00C95AA5">
            <w:pPr>
              <w:pStyle w:val="TableText"/>
            </w:pPr>
            <w:r w:rsidRPr="004D3C04">
              <w:t>Authoriz</w:t>
            </w:r>
            <w:r w:rsidR="0051181D" w:rsidRPr="004D3C04">
              <w:t>er</w:t>
            </w:r>
          </w:p>
        </w:tc>
        <w:tc>
          <w:tcPr>
            <w:tcW w:w="1417" w:type="dxa"/>
            <w:tcBorders>
              <w:left w:val="nil"/>
            </w:tcBorders>
          </w:tcPr>
          <w:p w:rsidR="0051181D" w:rsidRPr="004D3C04" w:rsidRDefault="0051181D" w:rsidP="00C95AA5">
            <w:pPr>
              <w:pStyle w:val="TableText"/>
            </w:pPr>
          </w:p>
        </w:tc>
        <w:tc>
          <w:tcPr>
            <w:tcW w:w="2835" w:type="dxa"/>
            <w:tcBorders>
              <w:left w:val="nil"/>
              <w:right w:val="single" w:sz="4" w:space="0" w:color="auto"/>
            </w:tcBorders>
          </w:tcPr>
          <w:p w:rsidR="0051181D" w:rsidRPr="004D3C04" w:rsidRDefault="0051181D" w:rsidP="00C95AA5">
            <w:pPr>
              <w:pStyle w:val="TableText"/>
            </w:pPr>
          </w:p>
        </w:tc>
        <w:tc>
          <w:tcPr>
            <w:tcW w:w="2410" w:type="dxa"/>
            <w:tcBorders>
              <w:left w:val="single" w:sz="4" w:space="0" w:color="auto"/>
            </w:tcBorders>
          </w:tcPr>
          <w:p w:rsidR="0051181D" w:rsidRPr="004D3C04" w:rsidRDefault="0051181D" w:rsidP="00C95AA5">
            <w:pPr>
              <w:pStyle w:val="TableText"/>
            </w:pPr>
          </w:p>
        </w:tc>
        <w:tc>
          <w:tcPr>
            <w:tcW w:w="1559" w:type="dxa"/>
          </w:tcPr>
          <w:p w:rsidR="0051181D" w:rsidRPr="004D3C04" w:rsidRDefault="0051181D" w:rsidP="00C95AA5">
            <w:pPr>
              <w:pStyle w:val="TableText"/>
            </w:pPr>
          </w:p>
        </w:tc>
      </w:tr>
    </w:tbl>
    <w:p w:rsidR="0051181D" w:rsidRPr="004D3C04" w:rsidRDefault="0051181D" w:rsidP="0051181D">
      <w:pPr>
        <w:pStyle w:val="TableText"/>
      </w:pPr>
    </w:p>
    <w:p w:rsidR="0051181D" w:rsidRPr="004D3C04" w:rsidRDefault="0051181D" w:rsidP="0051181D">
      <w:pPr>
        <w:pStyle w:val="TableText"/>
      </w:pPr>
    </w:p>
    <w:p w:rsidR="0051181D" w:rsidRPr="004D3C04" w:rsidRDefault="0051181D" w:rsidP="0051181D">
      <w:pPr>
        <w:pStyle w:val="TableText"/>
      </w:pPr>
    </w:p>
    <w:p w:rsidR="0051181D" w:rsidRPr="004D3C04" w:rsidRDefault="0051181D" w:rsidP="0051181D">
      <w:pPr>
        <w:pStyle w:val="TableText"/>
      </w:pPr>
    </w:p>
    <w:p w:rsidR="0051181D" w:rsidRPr="004D3C04" w:rsidRDefault="0051181D" w:rsidP="0051181D">
      <w:pPr>
        <w:widowControl w:val="0"/>
        <w:jc w:val="center"/>
      </w:pPr>
    </w:p>
    <w:p w:rsidR="00BC1323" w:rsidRPr="004D3C04" w:rsidRDefault="00BC1323" w:rsidP="0051181D">
      <w:pPr>
        <w:widowControl w:val="0"/>
        <w:jc w:val="center"/>
      </w:pPr>
    </w:p>
    <w:tbl>
      <w:tblPr>
        <w:tblW w:w="10631"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gridCol w:w="1701"/>
      </w:tblGrid>
      <w:tr w:rsidR="00BC1323" w:rsidRPr="004D3C04" w:rsidTr="00BC70B3">
        <w:tblPrEx>
          <w:tblCellMar>
            <w:top w:w="0" w:type="dxa"/>
            <w:bottom w:w="0" w:type="dxa"/>
          </w:tblCellMar>
        </w:tblPrEx>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rsidR="00BC1323" w:rsidRPr="004D3C04" w:rsidRDefault="00BC1323" w:rsidP="00BC70B3">
            <w:pPr>
              <w:pStyle w:val="TableText"/>
              <w:jc w:val="center"/>
            </w:pPr>
            <w:r w:rsidRPr="004D3C04">
              <w:t>SOP no.</w:t>
            </w:r>
          </w:p>
        </w:tc>
        <w:tc>
          <w:tcPr>
            <w:tcW w:w="1276" w:type="dxa"/>
            <w:tcBorders>
              <w:top w:val="single" w:sz="6" w:space="0" w:color="000000"/>
              <w:left w:val="single" w:sz="6" w:space="0" w:color="000000"/>
              <w:bottom w:val="single" w:sz="4" w:space="0" w:color="auto"/>
              <w:right w:val="single" w:sz="6" w:space="0" w:color="000000"/>
            </w:tcBorders>
            <w:vAlign w:val="center"/>
          </w:tcPr>
          <w:p w:rsidR="00BC1323" w:rsidRPr="004D3C04" w:rsidRDefault="00BC1323" w:rsidP="00BC70B3">
            <w:pPr>
              <w:pStyle w:val="TableText"/>
              <w:jc w:val="center"/>
            </w:pPr>
            <w:r w:rsidRPr="004D3C04">
              <w:t>Effective</w:t>
            </w:r>
            <w:r w:rsidRPr="004D3C04">
              <w:br/>
              <w:t>Date</w:t>
            </w:r>
          </w:p>
        </w:tc>
        <w:tc>
          <w:tcPr>
            <w:tcW w:w="4252" w:type="dxa"/>
            <w:tcBorders>
              <w:top w:val="single" w:sz="6" w:space="0" w:color="000000"/>
              <w:left w:val="single" w:sz="4" w:space="0" w:color="auto"/>
              <w:bottom w:val="single" w:sz="4" w:space="0" w:color="auto"/>
              <w:right w:val="single" w:sz="6" w:space="0" w:color="000000"/>
            </w:tcBorders>
            <w:vAlign w:val="center"/>
          </w:tcPr>
          <w:p w:rsidR="00BC1323" w:rsidRPr="004D3C04" w:rsidRDefault="00BC1323" w:rsidP="00BC70B3">
            <w:pPr>
              <w:pStyle w:val="TableText"/>
              <w:jc w:val="center"/>
            </w:pPr>
            <w:r w:rsidRPr="004D3C04">
              <w:t>Significant Changes</w:t>
            </w:r>
          </w:p>
        </w:tc>
        <w:tc>
          <w:tcPr>
            <w:tcW w:w="1701" w:type="dxa"/>
            <w:tcBorders>
              <w:top w:val="single" w:sz="6" w:space="0" w:color="000000"/>
              <w:left w:val="single" w:sz="4" w:space="0" w:color="auto"/>
              <w:bottom w:val="single" w:sz="4" w:space="0" w:color="auto"/>
              <w:right w:val="single" w:sz="6" w:space="0" w:color="000000"/>
            </w:tcBorders>
            <w:vAlign w:val="center"/>
          </w:tcPr>
          <w:p w:rsidR="00BC1323" w:rsidRPr="004D3C04" w:rsidRDefault="00BC1323" w:rsidP="00BC70B3">
            <w:pPr>
              <w:pStyle w:val="TableText"/>
              <w:jc w:val="center"/>
            </w:pPr>
            <w:r w:rsidRPr="004D3C04">
              <w:t>Revision #</w:t>
            </w:r>
          </w:p>
        </w:tc>
        <w:tc>
          <w:tcPr>
            <w:tcW w:w="1701" w:type="dxa"/>
            <w:tcBorders>
              <w:top w:val="single" w:sz="6" w:space="0" w:color="000000"/>
              <w:left w:val="single" w:sz="4" w:space="0" w:color="auto"/>
              <w:bottom w:val="single" w:sz="4" w:space="0" w:color="auto"/>
              <w:right w:val="single" w:sz="6" w:space="0" w:color="000000"/>
            </w:tcBorders>
            <w:vAlign w:val="center"/>
          </w:tcPr>
          <w:p w:rsidR="00BC1323" w:rsidRPr="004D3C04" w:rsidRDefault="00BC1323" w:rsidP="00BC70B3">
            <w:pPr>
              <w:pStyle w:val="TableText"/>
              <w:jc w:val="center"/>
            </w:pPr>
            <w:r w:rsidRPr="004D3C04">
              <w:t>Revision Date</w:t>
            </w:r>
          </w:p>
        </w:tc>
      </w:tr>
      <w:tr w:rsidR="00BC1323" w:rsidRPr="004D3C04" w:rsidTr="00BC70B3">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BC1323" w:rsidRPr="004D3C04" w:rsidRDefault="00BD79C8" w:rsidP="00BC70B3">
            <w:pPr>
              <w:pStyle w:val="TableText"/>
              <w:jc w:val="center"/>
            </w:pPr>
            <w:r w:rsidRPr="004D3C04">
              <w:t>008</w:t>
            </w:r>
          </w:p>
        </w:tc>
        <w:tc>
          <w:tcPr>
            <w:tcW w:w="1276"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4252"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r w:rsidRPr="004D3C04">
              <w:t>0</w:t>
            </w:r>
          </w:p>
        </w:tc>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p>
        </w:tc>
      </w:tr>
      <w:tr w:rsidR="00BC1323" w:rsidRPr="004D3C04" w:rsidTr="00BC70B3">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1276"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4252"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p>
        </w:tc>
      </w:tr>
      <w:tr w:rsidR="00BC1323" w:rsidRPr="004D3C04" w:rsidTr="00BC70B3">
        <w:tblPrEx>
          <w:tblCellMar>
            <w:top w:w="0" w:type="dxa"/>
            <w:bottom w:w="0" w:type="dxa"/>
          </w:tblCellMar>
        </w:tblPrEx>
        <w:trPr>
          <w:cantSplit/>
          <w:trHeight w:val="397"/>
        </w:trPr>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1276"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4252"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p>
        </w:tc>
        <w:tc>
          <w:tcPr>
            <w:tcW w:w="1701" w:type="dxa"/>
            <w:tcBorders>
              <w:top w:val="single" w:sz="4" w:space="0" w:color="auto"/>
              <w:bottom w:val="single" w:sz="4" w:space="0" w:color="auto"/>
            </w:tcBorders>
            <w:vAlign w:val="center"/>
          </w:tcPr>
          <w:p w:rsidR="00BC1323" w:rsidRPr="004D3C04" w:rsidRDefault="00BC1323" w:rsidP="00BC70B3">
            <w:pPr>
              <w:pStyle w:val="TableText"/>
              <w:jc w:val="center"/>
            </w:pPr>
          </w:p>
        </w:tc>
      </w:tr>
      <w:tr w:rsidR="00BC1323" w:rsidRPr="004D3C04" w:rsidTr="00BC70B3">
        <w:tblPrEx>
          <w:tblCellMar>
            <w:top w:w="0" w:type="dxa"/>
            <w:bottom w:w="0" w:type="dxa"/>
          </w:tblCellMar>
        </w:tblPrEx>
        <w:trPr>
          <w:cantSplit/>
          <w:trHeight w:val="397"/>
        </w:trPr>
        <w:tc>
          <w:tcPr>
            <w:tcW w:w="1701" w:type="dxa"/>
            <w:tcBorders>
              <w:top w:val="single" w:sz="4" w:space="0" w:color="auto"/>
            </w:tcBorders>
            <w:vAlign w:val="center"/>
          </w:tcPr>
          <w:p w:rsidR="00BC1323" w:rsidRPr="004D3C04" w:rsidRDefault="00BC1323" w:rsidP="00BC70B3">
            <w:pPr>
              <w:pStyle w:val="TableText"/>
              <w:jc w:val="center"/>
            </w:pPr>
          </w:p>
        </w:tc>
        <w:tc>
          <w:tcPr>
            <w:tcW w:w="1276" w:type="dxa"/>
            <w:tcBorders>
              <w:top w:val="single" w:sz="4" w:space="0" w:color="auto"/>
            </w:tcBorders>
            <w:vAlign w:val="center"/>
          </w:tcPr>
          <w:p w:rsidR="00BC1323" w:rsidRPr="004D3C04" w:rsidRDefault="00BC1323" w:rsidP="00BC70B3">
            <w:pPr>
              <w:pStyle w:val="TableText"/>
              <w:jc w:val="center"/>
            </w:pPr>
          </w:p>
        </w:tc>
        <w:tc>
          <w:tcPr>
            <w:tcW w:w="4252" w:type="dxa"/>
            <w:tcBorders>
              <w:top w:val="single" w:sz="4" w:space="0" w:color="auto"/>
            </w:tcBorders>
            <w:vAlign w:val="center"/>
          </w:tcPr>
          <w:p w:rsidR="00BC1323" w:rsidRPr="004D3C04" w:rsidRDefault="00BC1323" w:rsidP="00BC70B3">
            <w:pPr>
              <w:pStyle w:val="TableText"/>
              <w:jc w:val="center"/>
            </w:pPr>
          </w:p>
        </w:tc>
        <w:tc>
          <w:tcPr>
            <w:tcW w:w="1701" w:type="dxa"/>
            <w:tcBorders>
              <w:top w:val="single" w:sz="4" w:space="0" w:color="auto"/>
            </w:tcBorders>
            <w:vAlign w:val="center"/>
          </w:tcPr>
          <w:p w:rsidR="00BC1323" w:rsidRPr="004D3C04" w:rsidRDefault="00BC1323" w:rsidP="00BC70B3">
            <w:pPr>
              <w:pStyle w:val="TableText"/>
              <w:jc w:val="center"/>
            </w:pPr>
          </w:p>
        </w:tc>
        <w:tc>
          <w:tcPr>
            <w:tcW w:w="1701" w:type="dxa"/>
            <w:tcBorders>
              <w:top w:val="single" w:sz="4" w:space="0" w:color="auto"/>
            </w:tcBorders>
            <w:vAlign w:val="center"/>
          </w:tcPr>
          <w:p w:rsidR="00BC1323" w:rsidRPr="004D3C04" w:rsidRDefault="00BC1323" w:rsidP="00BC70B3">
            <w:pPr>
              <w:pStyle w:val="TableText"/>
              <w:jc w:val="center"/>
            </w:pPr>
          </w:p>
        </w:tc>
      </w:tr>
    </w:tbl>
    <w:p w:rsidR="00BC1323" w:rsidRPr="004D3C04" w:rsidRDefault="00BC1323" w:rsidP="0051181D">
      <w:pPr>
        <w:widowControl w:val="0"/>
        <w:jc w:val="center"/>
      </w:pPr>
    </w:p>
    <w:p w:rsidR="00BC1323" w:rsidRPr="004D3C04" w:rsidRDefault="00BC1323" w:rsidP="0051181D">
      <w:pPr>
        <w:widowControl w:val="0"/>
        <w:jc w:val="center"/>
        <w:sectPr w:rsidR="00BC1323" w:rsidRPr="004D3C04">
          <w:headerReference w:type="default" r:id="rId7"/>
          <w:footerReference w:type="default" r:id="rId8"/>
          <w:pgSz w:w="11906" w:h="16838" w:code="9"/>
          <w:pgMar w:top="1440" w:right="1174" w:bottom="1440" w:left="1174" w:header="675" w:footer="668" w:gutter="0"/>
          <w:cols w:space="720"/>
        </w:sectPr>
      </w:pPr>
    </w:p>
    <w:p w:rsidR="0051181D" w:rsidRPr="004D3C04" w:rsidRDefault="0051181D" w:rsidP="0051181D">
      <w:pPr>
        <w:pStyle w:val="Heading1"/>
      </w:pPr>
      <w:bookmarkStart w:id="0" w:name="_Toc525446010"/>
      <w:r w:rsidRPr="004D3C04">
        <w:lastRenderedPageBreak/>
        <w:t>purpose</w:t>
      </w:r>
      <w:bookmarkEnd w:id="0"/>
    </w:p>
    <w:p w:rsidR="00943EFC" w:rsidRPr="004D3C04" w:rsidRDefault="00943EFC" w:rsidP="00943EFC">
      <w:pPr>
        <w:pStyle w:val="NormalIndent"/>
        <w:numPr>
          <w:ilvl w:val="0"/>
          <w:numId w:val="17"/>
        </w:numPr>
      </w:pPr>
      <w:r w:rsidRPr="004D3C04">
        <w:t xml:space="preserve">This procedure is a guideline on the proper way </w:t>
      </w:r>
      <w:r w:rsidR="00AB2033" w:rsidRPr="004D3C04">
        <w:t xml:space="preserve">to safely perform </w:t>
      </w:r>
      <w:r w:rsidR="00090D08" w:rsidRPr="004D3C04">
        <w:t>pipeline pigging</w:t>
      </w:r>
      <w:r w:rsidR="00AB2033" w:rsidRPr="004D3C04">
        <w:t xml:space="preserve"> activities</w:t>
      </w:r>
      <w:r w:rsidRPr="004D3C04">
        <w:t>. Employees at BBGCI will use this as a guide to help them perform their duty in a safe and productive manner.</w:t>
      </w:r>
    </w:p>
    <w:p w:rsidR="00943EFC" w:rsidRPr="004D3C04" w:rsidRDefault="00943EFC" w:rsidP="00AB2033">
      <w:pPr>
        <w:pStyle w:val="NormalIndent"/>
        <w:numPr>
          <w:ilvl w:val="0"/>
          <w:numId w:val="17"/>
        </w:numPr>
      </w:pPr>
      <w:r w:rsidRPr="004D3C04">
        <w:t>BBGCI will be in compliance with all government regulations as well as the regulations set forth by our clients.</w:t>
      </w:r>
    </w:p>
    <w:p w:rsidR="0051181D" w:rsidRPr="004D3C04" w:rsidRDefault="0051181D" w:rsidP="0051181D">
      <w:pPr>
        <w:pStyle w:val="Heading1"/>
      </w:pPr>
      <w:bookmarkStart w:id="1" w:name="_Toc525446011"/>
      <w:r w:rsidRPr="004D3C04">
        <w:t>introduction</w:t>
      </w:r>
      <w:bookmarkEnd w:id="1"/>
    </w:p>
    <w:p w:rsidR="00AB2033" w:rsidRPr="004D3C04" w:rsidRDefault="00AB2033" w:rsidP="00AB2033">
      <w:pPr>
        <w:numPr>
          <w:ilvl w:val="0"/>
          <w:numId w:val="17"/>
        </w:numPr>
      </w:pPr>
      <w:r w:rsidRPr="004D3C04">
        <w:t xml:space="preserve">BBGCI understands that all jobs are different. This SOP is set in place as a guideline to help employees understand the proper procedure to follow </w:t>
      </w:r>
      <w:r w:rsidR="00090D08" w:rsidRPr="004D3C04">
        <w:t>when executing any pigging operations.</w:t>
      </w:r>
      <w:r w:rsidR="00A5436A" w:rsidRPr="004D3C04">
        <w:t xml:space="preserve"> Dirt, dust, rocks and other debris build up inside of the pipe while in the construction phase as well as backfilling the dirt on top of the new line. By pressurizing these pigs and sending them down the line, this helps with cleaning out all the unwanted debris and waste. This procedure may have to be repeated multiple times until the line is fully cleaned and cleared for product to be introduced. </w:t>
      </w:r>
    </w:p>
    <w:p w:rsidR="0051181D" w:rsidRPr="004D3C04" w:rsidRDefault="0051181D" w:rsidP="0051181D">
      <w:pPr>
        <w:pStyle w:val="Heading1"/>
      </w:pPr>
      <w:bookmarkStart w:id="2" w:name="_Toc53202740"/>
      <w:r w:rsidRPr="004D3C04">
        <w:t>Scope</w:t>
      </w:r>
      <w:bookmarkEnd w:id="2"/>
    </w:p>
    <w:p w:rsidR="00AB2033" w:rsidRPr="004D3C04" w:rsidRDefault="00AB2033" w:rsidP="00AB2033">
      <w:pPr>
        <w:pStyle w:val="NormalIndent"/>
        <w:numPr>
          <w:ilvl w:val="0"/>
          <w:numId w:val="17"/>
        </w:numPr>
      </w:pPr>
      <w:r w:rsidRPr="004D3C04">
        <w:t xml:space="preserve">This procedure has been set in place for BBGCI equipment operators and support personnel who will be conducting </w:t>
      </w:r>
      <w:r w:rsidR="00B66F8E" w:rsidRPr="004D3C04">
        <w:t xml:space="preserve">pipeline pigging operations. </w:t>
      </w:r>
    </w:p>
    <w:p w:rsidR="0051181D" w:rsidRPr="004D3C04" w:rsidRDefault="0051181D" w:rsidP="0051181D">
      <w:pPr>
        <w:pStyle w:val="Heading1"/>
      </w:pPr>
      <w:bookmarkStart w:id="3" w:name="_Toc53202741"/>
      <w:r w:rsidRPr="004D3C04">
        <w:t>Definitions</w:t>
      </w:r>
    </w:p>
    <w:p w:rsidR="00AB2033" w:rsidRPr="004D3C04" w:rsidRDefault="00B66F8E" w:rsidP="00AB2033">
      <w:pPr>
        <w:pStyle w:val="NormalIndent"/>
        <w:numPr>
          <w:ilvl w:val="0"/>
          <w:numId w:val="17"/>
        </w:numPr>
      </w:pPr>
      <w:r w:rsidRPr="004D3C04">
        <w:rPr>
          <w:u w:val="single"/>
        </w:rPr>
        <w:t>Pipeline Pig</w:t>
      </w:r>
      <w:r w:rsidRPr="004D3C04">
        <w:t xml:space="preserve"> </w:t>
      </w:r>
      <w:r w:rsidR="00AB2033" w:rsidRPr="004D3C04">
        <w:t xml:space="preserve">- </w:t>
      </w:r>
      <w:r w:rsidRPr="004D3C04">
        <w:t>capsule shaped objects which travel through the pipeline, cleaning the inner walls of the pipeline using a brushing action.</w:t>
      </w:r>
    </w:p>
    <w:p w:rsidR="00090D08" w:rsidRPr="004D3C04" w:rsidRDefault="00090D08" w:rsidP="00064FF7">
      <w:pPr>
        <w:pStyle w:val="NormalIndent"/>
        <w:numPr>
          <w:ilvl w:val="0"/>
          <w:numId w:val="17"/>
        </w:numPr>
        <w:rPr>
          <w:i/>
          <w:u w:val="single"/>
        </w:rPr>
      </w:pPr>
      <w:r w:rsidRPr="004D3C04">
        <w:rPr>
          <w:i/>
          <w:u w:val="single"/>
        </w:rPr>
        <w:t>Pig Launcher</w:t>
      </w:r>
      <w:r w:rsidRPr="004D3C04">
        <w:rPr>
          <w:i/>
        </w:rPr>
        <w:t xml:space="preserve"> - a vessel used for launching the pig into a pipeline by creating a pressure differential within in the pipe being cleaned. </w:t>
      </w:r>
    </w:p>
    <w:p w:rsidR="004D3C04" w:rsidRPr="004D3C04" w:rsidRDefault="004D3C04" w:rsidP="00064FF7">
      <w:pPr>
        <w:pStyle w:val="NormalIndent"/>
        <w:numPr>
          <w:ilvl w:val="0"/>
          <w:numId w:val="17"/>
        </w:numPr>
        <w:rPr>
          <w:i/>
          <w:u w:val="single"/>
        </w:rPr>
      </w:pPr>
      <w:r>
        <w:rPr>
          <w:i/>
          <w:u w:val="single"/>
        </w:rPr>
        <w:t>Pig Receiver</w:t>
      </w:r>
      <w:r>
        <w:rPr>
          <w:i/>
        </w:rPr>
        <w:t xml:space="preserve"> – a vessel use to receive the pig on the other end of the pipeline.</w:t>
      </w:r>
      <w:bookmarkStart w:id="4" w:name="_GoBack"/>
      <w:bookmarkEnd w:id="4"/>
    </w:p>
    <w:p w:rsidR="00064FF7" w:rsidRPr="003F0A05" w:rsidRDefault="00064FF7" w:rsidP="00064FF7">
      <w:pPr>
        <w:pStyle w:val="NormalIndent"/>
        <w:numPr>
          <w:ilvl w:val="0"/>
          <w:numId w:val="17"/>
        </w:numPr>
        <w:rPr>
          <w:i/>
          <w:u w:val="single"/>
        </w:rPr>
      </w:pPr>
      <w:r w:rsidRPr="004D3C04">
        <w:rPr>
          <w:i/>
          <w:u w:val="single"/>
        </w:rPr>
        <w:t>Line of Fire</w:t>
      </w:r>
      <w:r w:rsidR="00090D08" w:rsidRPr="004D3C04">
        <w:rPr>
          <w:i/>
        </w:rPr>
        <w:t xml:space="preserve"> </w:t>
      </w:r>
      <w:r w:rsidRPr="004D3C04">
        <w:rPr>
          <w:i/>
        </w:rPr>
        <w:t>-</w:t>
      </w:r>
      <w:r w:rsidRPr="004D3C04">
        <w:t xml:space="preserve"> The path of a moving object that can potentially</w:t>
      </w:r>
      <w:r w:rsidRPr="001E1E00">
        <w:t xml:space="preserve"> injure or the potential path of an object that may move. </w:t>
      </w:r>
      <w:r>
        <w:rPr>
          <w:i/>
          <w:u w:val="single"/>
        </w:rPr>
        <w:t xml:space="preserve"> </w:t>
      </w:r>
    </w:p>
    <w:p w:rsidR="00E16392" w:rsidRDefault="00064FF7" w:rsidP="00E16392">
      <w:pPr>
        <w:pStyle w:val="NormalIndent"/>
        <w:numPr>
          <w:ilvl w:val="0"/>
          <w:numId w:val="17"/>
        </w:numPr>
      </w:pPr>
      <w:r w:rsidRPr="00C770FD">
        <w:rPr>
          <w:i/>
          <w:u w:val="single"/>
        </w:rPr>
        <w:t>Buffer Zone</w:t>
      </w:r>
      <w:r w:rsidR="00090D08">
        <w:rPr>
          <w:i/>
        </w:rPr>
        <w:t xml:space="preserve"> </w:t>
      </w:r>
      <w:r>
        <w:t xml:space="preserve">- </w:t>
      </w:r>
      <w:r w:rsidRPr="001E1E00">
        <w:t>The area where operation occurs, that is deemed not safe for unauthorized personnel or equipment</w:t>
      </w:r>
      <w:r>
        <w:t xml:space="preserve">. </w:t>
      </w:r>
    </w:p>
    <w:p w:rsidR="0051181D" w:rsidRPr="004D3C04" w:rsidRDefault="0051181D" w:rsidP="0051181D">
      <w:pPr>
        <w:pStyle w:val="Heading1"/>
        <w:rPr>
          <w:highlight w:val="yellow"/>
        </w:rPr>
      </w:pPr>
      <w:r w:rsidRPr="004D3C04">
        <w:rPr>
          <w:highlight w:val="yellow"/>
        </w:rPr>
        <w:t>responsibilities</w:t>
      </w:r>
      <w:bookmarkEnd w:id="3"/>
    </w:p>
    <w:p w:rsidR="00774EF9" w:rsidRDefault="00774EF9" w:rsidP="00E16392">
      <w:pPr>
        <w:pStyle w:val="NormalIndent"/>
        <w:rPr>
          <w:i/>
          <w:u w:val="single"/>
        </w:rPr>
      </w:pPr>
    </w:p>
    <w:p w:rsidR="00E16392" w:rsidRDefault="00E16392" w:rsidP="00E16392">
      <w:pPr>
        <w:pStyle w:val="NormalIndent"/>
        <w:rPr>
          <w:i/>
          <w:u w:val="single"/>
        </w:rPr>
      </w:pPr>
      <w:r>
        <w:rPr>
          <w:i/>
          <w:u w:val="single"/>
        </w:rPr>
        <w:t>Supporting Personnel</w:t>
      </w:r>
    </w:p>
    <w:p w:rsidR="00E16392" w:rsidRPr="00B4189E" w:rsidRDefault="00E16392" w:rsidP="00E16392">
      <w:pPr>
        <w:pStyle w:val="NormalIndent"/>
        <w:numPr>
          <w:ilvl w:val="0"/>
          <w:numId w:val="20"/>
        </w:numPr>
        <w:rPr>
          <w:u w:val="single"/>
        </w:rPr>
      </w:pPr>
      <w:r>
        <w:t>Participate in tailgate meeting and JSEA.</w:t>
      </w:r>
    </w:p>
    <w:p w:rsidR="00E16392" w:rsidRPr="00B4189E" w:rsidRDefault="00E16392" w:rsidP="00E16392">
      <w:pPr>
        <w:pStyle w:val="NormalIndent"/>
        <w:numPr>
          <w:ilvl w:val="0"/>
          <w:numId w:val="20"/>
        </w:numPr>
        <w:rPr>
          <w:u w:val="single"/>
        </w:rPr>
      </w:pPr>
      <w:r>
        <w:t>Understand the scope of work and the hazards involved in his/her specific job duty.</w:t>
      </w:r>
    </w:p>
    <w:p w:rsidR="00684378" w:rsidRDefault="0051181D" w:rsidP="00C67E18">
      <w:pPr>
        <w:pStyle w:val="Heading1"/>
      </w:pPr>
      <w:r>
        <w:t>SPECIFIC PROCEDURE</w:t>
      </w:r>
    </w:p>
    <w:p w:rsidR="00E16392" w:rsidRPr="00090D08" w:rsidRDefault="00BE5B1F" w:rsidP="00E16392">
      <w:pPr>
        <w:pStyle w:val="NormalIndent"/>
        <w:rPr>
          <w:u w:val="single"/>
        </w:rPr>
      </w:pPr>
      <w:r>
        <w:rPr>
          <w:u w:val="single"/>
        </w:rPr>
        <w:t>Documentation and Prior to Work Procedures</w:t>
      </w:r>
    </w:p>
    <w:p w:rsidR="00E16392" w:rsidRDefault="00E16392" w:rsidP="00E16392">
      <w:pPr>
        <w:pStyle w:val="NormalIndent"/>
        <w:rPr>
          <w:i/>
        </w:rPr>
      </w:pPr>
      <w:r>
        <w:rPr>
          <w:i/>
        </w:rPr>
        <w:t xml:space="preserve">(Personnel Involved: </w:t>
      </w:r>
      <w:r w:rsidR="00090D08">
        <w:rPr>
          <w:i/>
        </w:rPr>
        <w:t>Foremen</w:t>
      </w:r>
      <w:r>
        <w:rPr>
          <w:i/>
        </w:rPr>
        <w:t xml:space="preserve"> and Supporting Personnel)</w:t>
      </w:r>
    </w:p>
    <w:p w:rsidR="00E16392" w:rsidRDefault="00E16392" w:rsidP="00E16392">
      <w:pPr>
        <w:pStyle w:val="NormalIndent"/>
        <w:numPr>
          <w:ilvl w:val="0"/>
          <w:numId w:val="21"/>
        </w:numPr>
      </w:pPr>
      <w:r>
        <w:lastRenderedPageBreak/>
        <w:t>Before work can commence, properly complete all JSEA’s, work permits, safety tailgate meetings, and equipment inspections.</w:t>
      </w:r>
    </w:p>
    <w:p w:rsidR="00E16392" w:rsidRDefault="00E16392" w:rsidP="00E16392">
      <w:pPr>
        <w:pStyle w:val="NormalIndent"/>
        <w:numPr>
          <w:ilvl w:val="0"/>
          <w:numId w:val="21"/>
        </w:numPr>
      </w:pPr>
      <w:r>
        <w:t xml:space="preserve">Equipment inspections will be completed by qualified personnel. </w:t>
      </w:r>
    </w:p>
    <w:p w:rsidR="00E16392" w:rsidRDefault="00E16392" w:rsidP="00E16392">
      <w:pPr>
        <w:pStyle w:val="NormalIndent"/>
        <w:numPr>
          <w:ilvl w:val="0"/>
          <w:numId w:val="21"/>
        </w:numPr>
      </w:pPr>
      <w:r>
        <w:t>Establish the scope of work, and ensure everyone knows their specific job duty.</w:t>
      </w:r>
    </w:p>
    <w:p w:rsidR="00E16392" w:rsidRDefault="00E16392" w:rsidP="00E16392">
      <w:pPr>
        <w:pStyle w:val="NormalIndent"/>
        <w:numPr>
          <w:ilvl w:val="0"/>
          <w:numId w:val="21"/>
        </w:numPr>
      </w:pPr>
      <w:r w:rsidRPr="009A5FCE">
        <w:t>Spotter</w:t>
      </w:r>
      <w:r>
        <w:t>/Supporting Personnel</w:t>
      </w:r>
      <w:r w:rsidRPr="009A5FCE">
        <w:t xml:space="preserve"> will maintain a safe buffer zone and inform the operator that it is safe for work to commence.</w:t>
      </w:r>
    </w:p>
    <w:p w:rsidR="00774EF9" w:rsidRDefault="00774EF9" w:rsidP="00774EF9">
      <w:pPr>
        <w:pStyle w:val="NormalIndent"/>
      </w:pPr>
    </w:p>
    <w:p w:rsidR="00BE5B1F" w:rsidRDefault="00BE5B1F" w:rsidP="00BE5B1F">
      <w:pPr>
        <w:pStyle w:val="NormalIndent"/>
        <w:rPr>
          <w:u w:val="single"/>
        </w:rPr>
      </w:pPr>
      <w:r>
        <w:rPr>
          <w:u w:val="single"/>
        </w:rPr>
        <w:t xml:space="preserve">Valve Restrictions </w:t>
      </w:r>
      <w:r w:rsidR="0019477E">
        <w:rPr>
          <w:u w:val="single"/>
        </w:rPr>
        <w:t>for pig launcher</w:t>
      </w:r>
    </w:p>
    <w:p w:rsidR="00BE5B1F" w:rsidRPr="00BE5B1F" w:rsidRDefault="00BE5B1F" w:rsidP="00BE5B1F">
      <w:pPr>
        <w:pStyle w:val="NormalIndent"/>
        <w:numPr>
          <w:ilvl w:val="0"/>
          <w:numId w:val="23"/>
        </w:numPr>
      </w:pPr>
      <w:r w:rsidRPr="00BE5B1F">
        <w:t>Ensure that the manual launcher valves are all closed</w:t>
      </w:r>
    </w:p>
    <w:p w:rsidR="00BE5B1F" w:rsidRDefault="00BE5B1F" w:rsidP="00BE5B1F">
      <w:pPr>
        <w:pStyle w:val="NormalIndent"/>
        <w:numPr>
          <w:ilvl w:val="0"/>
          <w:numId w:val="23"/>
        </w:numPr>
      </w:pPr>
      <w:r w:rsidRPr="00BE5B1F">
        <w:t>Check that the vent valve and globe valve, valves between the launcher valves, are closed.</w:t>
      </w:r>
    </w:p>
    <w:p w:rsidR="00BE5B1F" w:rsidRDefault="00BE5B1F" w:rsidP="00BE5B1F">
      <w:pPr>
        <w:pStyle w:val="NormalIndent"/>
        <w:numPr>
          <w:ilvl w:val="0"/>
          <w:numId w:val="23"/>
        </w:numPr>
      </w:pPr>
      <w:r>
        <w:t xml:space="preserve">Check that the globe valve and vent valve on the launcher are closed. </w:t>
      </w:r>
    </w:p>
    <w:p w:rsidR="00BE5B1F" w:rsidRDefault="00BE5B1F" w:rsidP="00BE5B1F">
      <w:pPr>
        <w:pStyle w:val="NormalIndent"/>
        <w:numPr>
          <w:ilvl w:val="0"/>
          <w:numId w:val="23"/>
        </w:numPr>
      </w:pPr>
      <w:r>
        <w:t>Check that the integral double block valves and globe valve are closed</w:t>
      </w:r>
    </w:p>
    <w:p w:rsidR="0019477E" w:rsidRDefault="0019477E" w:rsidP="00BE5B1F">
      <w:pPr>
        <w:pStyle w:val="NormalIndent"/>
        <w:numPr>
          <w:ilvl w:val="0"/>
          <w:numId w:val="23"/>
        </w:numPr>
      </w:pPr>
      <w:r>
        <w:t xml:space="preserve">Check that the appropriate drain valves on the launcher are closed. </w:t>
      </w:r>
    </w:p>
    <w:p w:rsidR="0019477E" w:rsidRDefault="0019477E" w:rsidP="00BE5B1F">
      <w:pPr>
        <w:pStyle w:val="NormalIndent"/>
        <w:numPr>
          <w:ilvl w:val="0"/>
          <w:numId w:val="23"/>
        </w:numPr>
      </w:pPr>
      <w:r>
        <w:t xml:space="preserve">Inform all involved personnel that a pig is about to be launched. </w:t>
      </w:r>
    </w:p>
    <w:p w:rsidR="0019477E" w:rsidRPr="00BE5B1F" w:rsidRDefault="0019477E" w:rsidP="0019477E">
      <w:pPr>
        <w:pStyle w:val="NormalIndent"/>
      </w:pPr>
    </w:p>
    <w:p w:rsidR="0019477E" w:rsidRDefault="0019477E" w:rsidP="00BE5B1F">
      <w:pPr>
        <w:pStyle w:val="NormalIndent"/>
        <w:rPr>
          <w:u w:val="single"/>
        </w:rPr>
      </w:pPr>
      <w:r>
        <w:rPr>
          <w:u w:val="single"/>
        </w:rPr>
        <w:t>Valve Restrictions for Pig Receiver</w:t>
      </w:r>
    </w:p>
    <w:p w:rsidR="0019477E" w:rsidRPr="0019477E" w:rsidRDefault="0019477E" w:rsidP="0019477E">
      <w:pPr>
        <w:pStyle w:val="NormalIndent"/>
        <w:numPr>
          <w:ilvl w:val="0"/>
          <w:numId w:val="25"/>
        </w:numPr>
        <w:rPr>
          <w:u w:val="single"/>
        </w:rPr>
      </w:pPr>
      <w:r>
        <w:t>Check that the appropriate drain valves</w:t>
      </w:r>
      <w:r w:rsidR="00774EF9">
        <w:t xml:space="preserve"> and vent valves</w:t>
      </w:r>
      <w:r>
        <w:t xml:space="preserve"> on the receiver are closed. </w:t>
      </w:r>
    </w:p>
    <w:p w:rsidR="0019477E" w:rsidRPr="0019477E" w:rsidRDefault="0019477E" w:rsidP="0019477E">
      <w:pPr>
        <w:pStyle w:val="NormalIndent"/>
        <w:numPr>
          <w:ilvl w:val="0"/>
          <w:numId w:val="25"/>
        </w:numPr>
        <w:rPr>
          <w:u w:val="single"/>
        </w:rPr>
      </w:pPr>
      <w:r>
        <w:t xml:space="preserve">Check that the drain valves between the receiver valves are all closed. </w:t>
      </w:r>
    </w:p>
    <w:p w:rsidR="0019477E" w:rsidRPr="0019477E" w:rsidRDefault="0019477E" w:rsidP="0019477E">
      <w:pPr>
        <w:pStyle w:val="NormalIndent"/>
        <w:numPr>
          <w:ilvl w:val="0"/>
          <w:numId w:val="25"/>
        </w:numPr>
        <w:rPr>
          <w:u w:val="single"/>
        </w:rPr>
      </w:pPr>
      <w:r>
        <w:t>Check that the globe valve and double block valves are closed.</w:t>
      </w:r>
    </w:p>
    <w:p w:rsidR="0019477E" w:rsidRPr="0019477E" w:rsidRDefault="0019477E" w:rsidP="0019477E">
      <w:pPr>
        <w:pStyle w:val="NormalIndent"/>
        <w:numPr>
          <w:ilvl w:val="0"/>
          <w:numId w:val="25"/>
        </w:numPr>
        <w:rPr>
          <w:u w:val="single"/>
        </w:rPr>
      </w:pPr>
      <w:r>
        <w:t>Check that the valve on the bypass line is opened.</w:t>
      </w:r>
    </w:p>
    <w:p w:rsidR="0019477E" w:rsidRPr="00774EF9" w:rsidRDefault="0019477E" w:rsidP="0019477E">
      <w:pPr>
        <w:pStyle w:val="NormalIndent"/>
        <w:numPr>
          <w:ilvl w:val="0"/>
          <w:numId w:val="25"/>
        </w:numPr>
        <w:rPr>
          <w:u w:val="single"/>
        </w:rPr>
      </w:pPr>
      <w:r>
        <w:t xml:space="preserve">Check that the receiver valves are closed. </w:t>
      </w:r>
    </w:p>
    <w:p w:rsidR="00774EF9" w:rsidRDefault="00774EF9" w:rsidP="00774EF9">
      <w:pPr>
        <w:pStyle w:val="NormalIndent"/>
        <w:rPr>
          <w:u w:val="single"/>
        </w:rPr>
      </w:pPr>
    </w:p>
    <w:p w:rsidR="00BE5B1F" w:rsidRDefault="00774EF9" w:rsidP="00BE5B1F">
      <w:pPr>
        <w:pStyle w:val="NormalIndent"/>
        <w:rPr>
          <w:u w:val="single"/>
        </w:rPr>
      </w:pPr>
      <w:r>
        <w:rPr>
          <w:u w:val="single"/>
        </w:rPr>
        <w:t>Launch Prep</w:t>
      </w:r>
    </w:p>
    <w:p w:rsidR="0019477E" w:rsidRPr="00774EF9" w:rsidRDefault="00774EF9" w:rsidP="0019477E">
      <w:pPr>
        <w:pStyle w:val="NormalIndent"/>
        <w:numPr>
          <w:ilvl w:val="0"/>
          <w:numId w:val="24"/>
        </w:numPr>
        <w:rPr>
          <w:u w:val="single"/>
        </w:rPr>
      </w:pPr>
      <w:r>
        <w:t xml:space="preserve">Open the globe valve and the double block </w:t>
      </w:r>
      <w:r w:rsidR="004D3C04">
        <w:t>valves</w:t>
      </w:r>
      <w:r>
        <w:t xml:space="preserve"> in the receiver kicker line.</w:t>
      </w:r>
    </w:p>
    <w:p w:rsidR="00774EF9" w:rsidRPr="00774EF9" w:rsidRDefault="00774EF9" w:rsidP="0019477E">
      <w:pPr>
        <w:pStyle w:val="NormalIndent"/>
        <w:numPr>
          <w:ilvl w:val="0"/>
          <w:numId w:val="24"/>
        </w:numPr>
        <w:rPr>
          <w:u w:val="single"/>
        </w:rPr>
      </w:pPr>
      <w:r>
        <w:t>Open the receiver valves.</w:t>
      </w:r>
    </w:p>
    <w:p w:rsidR="00774EF9" w:rsidRPr="004D3C04" w:rsidRDefault="00774EF9" w:rsidP="0019477E">
      <w:pPr>
        <w:pStyle w:val="NormalIndent"/>
        <w:numPr>
          <w:ilvl w:val="0"/>
          <w:numId w:val="24"/>
        </w:numPr>
        <w:rPr>
          <w:u w:val="single"/>
        </w:rPr>
      </w:pPr>
      <w:r>
        <w:t xml:space="preserve">Close the valve on the bypass line. </w:t>
      </w:r>
    </w:p>
    <w:p w:rsidR="004D3C04" w:rsidRPr="00774EF9" w:rsidRDefault="004D3C04" w:rsidP="004D3C04">
      <w:pPr>
        <w:pStyle w:val="NormalIndent"/>
        <w:rPr>
          <w:u w:val="single"/>
        </w:rPr>
      </w:pPr>
    </w:p>
    <w:p w:rsidR="00774EF9" w:rsidRDefault="00774EF9" w:rsidP="00774EF9">
      <w:pPr>
        <w:pStyle w:val="NormalIndent"/>
        <w:rPr>
          <w:u w:val="single"/>
        </w:rPr>
      </w:pPr>
      <w:r>
        <w:rPr>
          <w:u w:val="single"/>
        </w:rPr>
        <w:t>Launching the Pig</w:t>
      </w:r>
    </w:p>
    <w:p w:rsidR="00774EF9" w:rsidRPr="00774EF9" w:rsidRDefault="00774EF9" w:rsidP="00774EF9">
      <w:pPr>
        <w:pStyle w:val="NormalIndent"/>
        <w:numPr>
          <w:ilvl w:val="0"/>
          <w:numId w:val="26"/>
        </w:numPr>
        <w:rPr>
          <w:u w:val="single"/>
        </w:rPr>
      </w:pPr>
      <w:r>
        <w:t xml:space="preserve">Open the appropriate globe and vent valves on the launcher. Check that the pressure gauges on the launcher barrel are indicating zero pressure. </w:t>
      </w:r>
    </w:p>
    <w:p w:rsidR="00774EF9" w:rsidRPr="00774EF9" w:rsidRDefault="00774EF9" w:rsidP="00774EF9">
      <w:pPr>
        <w:pStyle w:val="NormalIndent"/>
        <w:numPr>
          <w:ilvl w:val="0"/>
          <w:numId w:val="26"/>
        </w:numPr>
        <w:rPr>
          <w:u w:val="single"/>
        </w:rPr>
      </w:pPr>
      <w:r>
        <w:t xml:space="preserve">Open the appropriate valves between the launcher valves. Check that the pressure gauge between the launcher valves is also zero. </w:t>
      </w:r>
    </w:p>
    <w:p w:rsidR="00774EF9" w:rsidRPr="00774EF9" w:rsidRDefault="00774EF9" w:rsidP="00774EF9">
      <w:pPr>
        <w:pStyle w:val="NormalIndent"/>
        <w:numPr>
          <w:ilvl w:val="0"/>
          <w:numId w:val="26"/>
        </w:numPr>
        <w:rPr>
          <w:u w:val="single"/>
        </w:rPr>
      </w:pPr>
      <w:r>
        <w:t xml:space="preserve">Open the launcher door. </w:t>
      </w:r>
    </w:p>
    <w:p w:rsidR="00774EF9" w:rsidRPr="00774EF9" w:rsidRDefault="00774EF9" w:rsidP="00774EF9">
      <w:pPr>
        <w:pStyle w:val="NormalIndent"/>
        <w:numPr>
          <w:ilvl w:val="0"/>
          <w:numId w:val="26"/>
        </w:numPr>
        <w:rPr>
          <w:u w:val="single"/>
        </w:rPr>
      </w:pPr>
      <w:r>
        <w:t xml:space="preserve">Place the pig into the launcher barrel and push it as far forward as possible. </w:t>
      </w:r>
    </w:p>
    <w:p w:rsidR="00774EF9" w:rsidRPr="00774EF9" w:rsidRDefault="00774EF9" w:rsidP="00774EF9">
      <w:pPr>
        <w:pStyle w:val="NormalIndent"/>
        <w:numPr>
          <w:ilvl w:val="0"/>
          <w:numId w:val="26"/>
        </w:numPr>
        <w:rPr>
          <w:u w:val="single"/>
        </w:rPr>
      </w:pPr>
      <w:r>
        <w:t>Close the launcher door.</w:t>
      </w:r>
    </w:p>
    <w:p w:rsidR="00774EF9" w:rsidRPr="00774EF9" w:rsidRDefault="00774EF9" w:rsidP="00774EF9">
      <w:pPr>
        <w:pStyle w:val="NormalIndent"/>
        <w:numPr>
          <w:ilvl w:val="0"/>
          <w:numId w:val="26"/>
        </w:numPr>
        <w:rPr>
          <w:u w:val="single"/>
        </w:rPr>
      </w:pPr>
      <w:r>
        <w:lastRenderedPageBreak/>
        <w:t xml:space="preserve">Close all the appropriate valves. </w:t>
      </w:r>
    </w:p>
    <w:p w:rsidR="00774EF9" w:rsidRPr="00774EF9" w:rsidRDefault="00774EF9" w:rsidP="00774EF9">
      <w:pPr>
        <w:pStyle w:val="NormalIndent"/>
        <w:numPr>
          <w:ilvl w:val="0"/>
          <w:numId w:val="26"/>
        </w:numPr>
        <w:rPr>
          <w:u w:val="single"/>
        </w:rPr>
      </w:pPr>
      <w:r>
        <w:t xml:space="preserve">Pressurize the launcher barrel by opening the integral double block valves and gradually open the globe valve in the “kicker line”. Once the launcher is at the same pressure as the export pipeline, close the necessary valves. </w:t>
      </w:r>
    </w:p>
    <w:p w:rsidR="00774EF9" w:rsidRPr="00774EF9" w:rsidRDefault="00774EF9" w:rsidP="00774EF9">
      <w:pPr>
        <w:pStyle w:val="NormalIndent"/>
        <w:numPr>
          <w:ilvl w:val="0"/>
          <w:numId w:val="26"/>
        </w:numPr>
        <w:rPr>
          <w:u w:val="single"/>
        </w:rPr>
      </w:pPr>
      <w:r>
        <w:t xml:space="preserve">Open the launcher valves downstream from the launcher. </w:t>
      </w:r>
    </w:p>
    <w:p w:rsidR="00774EF9" w:rsidRPr="00774EF9" w:rsidRDefault="00774EF9" w:rsidP="00774EF9">
      <w:pPr>
        <w:pStyle w:val="NormalIndent"/>
        <w:numPr>
          <w:ilvl w:val="0"/>
          <w:numId w:val="26"/>
        </w:numPr>
        <w:rPr>
          <w:u w:val="single"/>
        </w:rPr>
      </w:pPr>
      <w:r>
        <w:t xml:space="preserve">By closing the launcher bypass valves, this will launch the pig into the export line. </w:t>
      </w:r>
    </w:p>
    <w:p w:rsidR="00774EF9" w:rsidRDefault="00774EF9" w:rsidP="00422A9D">
      <w:pPr>
        <w:pStyle w:val="NormalIndent"/>
      </w:pPr>
    </w:p>
    <w:p w:rsidR="00422A9D" w:rsidRPr="00422A9D" w:rsidRDefault="00422A9D" w:rsidP="00422A9D">
      <w:pPr>
        <w:pStyle w:val="NormalIndent"/>
        <w:rPr>
          <w:u w:val="single"/>
        </w:rPr>
      </w:pPr>
      <w:r w:rsidRPr="00422A9D">
        <w:rPr>
          <w:u w:val="single"/>
        </w:rPr>
        <w:t>Receiving the Pig</w:t>
      </w:r>
    </w:p>
    <w:p w:rsidR="00422A9D" w:rsidRDefault="00422A9D" w:rsidP="00422A9D">
      <w:pPr>
        <w:pStyle w:val="NormalIndent"/>
        <w:numPr>
          <w:ilvl w:val="0"/>
          <w:numId w:val="27"/>
        </w:numPr>
      </w:pPr>
      <w:r>
        <w:t xml:space="preserve">Once the pig has arrived in the receiver, open the appropriate valve to bleed off the pressure from the line. </w:t>
      </w:r>
    </w:p>
    <w:p w:rsidR="00E16392" w:rsidRDefault="00F82350" w:rsidP="00422A9D">
      <w:pPr>
        <w:pStyle w:val="NormalIndent"/>
        <w:numPr>
          <w:ilvl w:val="0"/>
          <w:numId w:val="27"/>
        </w:numPr>
      </w:pPr>
      <w:r>
        <w:t xml:space="preserve"> </w:t>
      </w:r>
      <w:r w:rsidR="00422A9D">
        <w:t xml:space="preserve">Once the pressure gauges are showing that the receiver is completely depressurized, open the drain valves from the launcher to drain the system. </w:t>
      </w:r>
    </w:p>
    <w:p w:rsidR="00422A9D" w:rsidRDefault="00422A9D" w:rsidP="00422A9D">
      <w:pPr>
        <w:pStyle w:val="NormalIndent"/>
        <w:numPr>
          <w:ilvl w:val="0"/>
          <w:numId w:val="27"/>
        </w:numPr>
      </w:pPr>
      <w:r>
        <w:t>Open the vlave on the barrel end vent line to confirm that the receiver is fully depressurized.</w:t>
      </w:r>
    </w:p>
    <w:p w:rsidR="00422A9D" w:rsidRDefault="00422A9D" w:rsidP="00422A9D">
      <w:pPr>
        <w:pStyle w:val="NormalIndent"/>
        <w:numPr>
          <w:ilvl w:val="0"/>
          <w:numId w:val="27"/>
        </w:numPr>
      </w:pPr>
      <w:r>
        <w:t xml:space="preserve">Open the door on the receiver and retrieve the pig from the barrel. </w:t>
      </w:r>
    </w:p>
    <w:p w:rsidR="00422A9D" w:rsidRDefault="00422A9D" w:rsidP="00422A9D">
      <w:pPr>
        <w:pStyle w:val="NormalIndent"/>
        <w:numPr>
          <w:ilvl w:val="0"/>
          <w:numId w:val="27"/>
        </w:numPr>
      </w:pPr>
      <w:r>
        <w:t>Close and secure the receiver door.</w:t>
      </w:r>
    </w:p>
    <w:p w:rsidR="00F82350" w:rsidRDefault="00422A9D" w:rsidP="00422A9D">
      <w:pPr>
        <w:pStyle w:val="NormalIndent"/>
        <w:numPr>
          <w:ilvl w:val="0"/>
          <w:numId w:val="27"/>
        </w:numPr>
      </w:pPr>
      <w:r>
        <w:t>Repeat this process as many times as need to clean the line out.</w:t>
      </w:r>
      <w:r w:rsidR="00F82350">
        <w:t xml:space="preserve"> </w:t>
      </w:r>
    </w:p>
    <w:p w:rsidR="004D3C04" w:rsidRDefault="004D3C04" w:rsidP="004D3C04">
      <w:pPr>
        <w:pStyle w:val="NormalIndent"/>
      </w:pPr>
    </w:p>
    <w:p w:rsidR="00C67E18" w:rsidRDefault="00C67E18" w:rsidP="00C67E18">
      <w:pPr>
        <w:pStyle w:val="Heading1"/>
      </w:pPr>
      <w:bookmarkStart w:id="5" w:name="_Toc53202746"/>
      <w:r>
        <w:t>job related hazards</w:t>
      </w:r>
    </w:p>
    <w:p w:rsidR="00F82350" w:rsidRDefault="00F82350" w:rsidP="00F82350">
      <w:pPr>
        <w:pStyle w:val="NormalIndent"/>
        <w:rPr>
          <w:b/>
          <w:i/>
        </w:rPr>
      </w:pPr>
      <w:r>
        <w:rPr>
          <w:b/>
          <w:i/>
        </w:rPr>
        <w:t>Slips</w:t>
      </w:r>
      <w:r w:rsidR="00246C79">
        <w:rPr>
          <w:b/>
          <w:i/>
        </w:rPr>
        <w:t>, Trips and Fall Hazards</w:t>
      </w:r>
      <w:r>
        <w:rPr>
          <w:b/>
          <w:i/>
        </w:rPr>
        <w:t>:</w:t>
      </w:r>
    </w:p>
    <w:p w:rsidR="00F82350" w:rsidRDefault="00F82350" w:rsidP="00F82350">
      <w:pPr>
        <w:pStyle w:val="NormalIndent"/>
        <w:numPr>
          <w:ilvl w:val="0"/>
          <w:numId w:val="17"/>
        </w:numPr>
      </w:pPr>
      <w:r>
        <w:t xml:space="preserve">Inspecting Equipment </w:t>
      </w:r>
    </w:p>
    <w:p w:rsidR="00F82350" w:rsidRDefault="00F82350" w:rsidP="00F82350">
      <w:pPr>
        <w:pStyle w:val="NormalIndent"/>
        <w:numPr>
          <w:ilvl w:val="0"/>
          <w:numId w:val="17"/>
        </w:numPr>
      </w:pPr>
      <w:r>
        <w:t xml:space="preserve">Climbing on and off equipment </w:t>
      </w:r>
    </w:p>
    <w:p w:rsidR="00246C79" w:rsidRDefault="00246C79" w:rsidP="00F82350">
      <w:pPr>
        <w:pStyle w:val="NormalIndent"/>
        <w:numPr>
          <w:ilvl w:val="0"/>
          <w:numId w:val="17"/>
        </w:numPr>
      </w:pPr>
      <w:r>
        <w:t>Walking on uneven surface or rocks</w:t>
      </w:r>
    </w:p>
    <w:p w:rsidR="00151467" w:rsidRDefault="00151467" w:rsidP="00F82350">
      <w:pPr>
        <w:pStyle w:val="NormalIndent"/>
        <w:numPr>
          <w:ilvl w:val="0"/>
          <w:numId w:val="17"/>
        </w:numPr>
      </w:pPr>
      <w:r>
        <w:t>Working near open hole/trenches</w:t>
      </w:r>
    </w:p>
    <w:p w:rsidR="00246C79" w:rsidRDefault="00246C79" w:rsidP="00246C79">
      <w:pPr>
        <w:pStyle w:val="NormalIndent"/>
      </w:pPr>
    </w:p>
    <w:p w:rsidR="004D3C04" w:rsidRDefault="004D3C04" w:rsidP="00246C79">
      <w:pPr>
        <w:pStyle w:val="NormalIndent"/>
      </w:pPr>
    </w:p>
    <w:p w:rsidR="004D3C04" w:rsidRDefault="004D3C04" w:rsidP="00246C79">
      <w:pPr>
        <w:pStyle w:val="NormalIndent"/>
      </w:pPr>
    </w:p>
    <w:p w:rsidR="00246C79" w:rsidRDefault="00246C79" w:rsidP="00246C79">
      <w:pPr>
        <w:pStyle w:val="NormalIndent"/>
        <w:rPr>
          <w:b/>
          <w:i/>
        </w:rPr>
      </w:pPr>
      <w:r>
        <w:rPr>
          <w:b/>
          <w:i/>
        </w:rPr>
        <w:t>Pinch Points and Line of Fire Hazards:</w:t>
      </w:r>
    </w:p>
    <w:p w:rsidR="00246C79" w:rsidRDefault="00246C79" w:rsidP="00246C79">
      <w:pPr>
        <w:pStyle w:val="NormalIndent"/>
        <w:numPr>
          <w:ilvl w:val="0"/>
          <w:numId w:val="17"/>
        </w:numPr>
      </w:pPr>
      <w:r>
        <w:t>Moving Equipment</w:t>
      </w:r>
    </w:p>
    <w:p w:rsidR="00246C79" w:rsidRDefault="00246C79" w:rsidP="00246C79">
      <w:pPr>
        <w:pStyle w:val="NormalIndent"/>
        <w:numPr>
          <w:ilvl w:val="0"/>
          <w:numId w:val="17"/>
        </w:numPr>
      </w:pPr>
      <w:r>
        <w:t>Walking in unauthorized work areas/buffer zones</w:t>
      </w:r>
    </w:p>
    <w:p w:rsidR="00246C79" w:rsidRDefault="00246C79" w:rsidP="00246C79">
      <w:pPr>
        <w:pStyle w:val="NormalIndent"/>
        <w:numPr>
          <w:ilvl w:val="0"/>
          <w:numId w:val="17"/>
        </w:numPr>
      </w:pPr>
      <w:r>
        <w:t xml:space="preserve">Working with pressurized </w:t>
      </w:r>
      <w:r w:rsidR="00090D08">
        <w:t>lines</w:t>
      </w:r>
      <w:r>
        <w:t xml:space="preserve"> </w:t>
      </w:r>
    </w:p>
    <w:p w:rsidR="00246C79" w:rsidRDefault="00090D08" w:rsidP="00246C79">
      <w:pPr>
        <w:pStyle w:val="NormalIndent"/>
        <w:numPr>
          <w:ilvl w:val="0"/>
          <w:numId w:val="17"/>
        </w:numPr>
      </w:pPr>
      <w:r>
        <w:t>Working on the exiting end of the pipeline pig</w:t>
      </w:r>
    </w:p>
    <w:p w:rsidR="00246C79" w:rsidRDefault="00246C79" w:rsidP="00246C79">
      <w:pPr>
        <w:pStyle w:val="NormalIndent"/>
        <w:numPr>
          <w:ilvl w:val="0"/>
          <w:numId w:val="17"/>
        </w:numPr>
      </w:pPr>
      <w:r>
        <w:t>Vehicles next to roadway</w:t>
      </w:r>
    </w:p>
    <w:p w:rsidR="00090D08" w:rsidRPr="00246C79" w:rsidRDefault="00090D08" w:rsidP="00090D08">
      <w:pPr>
        <w:pStyle w:val="NormalIndent"/>
        <w:ind w:left="0"/>
      </w:pPr>
    </w:p>
    <w:p w:rsidR="00C67E18" w:rsidRDefault="00C67E18" w:rsidP="00C67E18">
      <w:pPr>
        <w:pStyle w:val="Heading1"/>
      </w:pPr>
      <w:r>
        <w:lastRenderedPageBreak/>
        <w:t>required ppe</w:t>
      </w:r>
    </w:p>
    <w:p w:rsidR="00246C79" w:rsidRDefault="00246C79" w:rsidP="00246C79">
      <w:pPr>
        <w:pStyle w:val="NormalIndent"/>
        <w:numPr>
          <w:ilvl w:val="0"/>
          <w:numId w:val="17"/>
        </w:numPr>
      </w:pPr>
      <w:r>
        <w:t>Hard hat</w:t>
      </w:r>
    </w:p>
    <w:p w:rsidR="00246C79" w:rsidRDefault="00246C79" w:rsidP="00246C79">
      <w:pPr>
        <w:pStyle w:val="NormalIndent"/>
        <w:numPr>
          <w:ilvl w:val="0"/>
          <w:numId w:val="17"/>
        </w:numPr>
      </w:pPr>
      <w:r>
        <w:t>Safety Glasses</w:t>
      </w:r>
    </w:p>
    <w:p w:rsidR="00246C79" w:rsidRDefault="00246C79" w:rsidP="00246C79">
      <w:pPr>
        <w:pStyle w:val="NormalIndent"/>
        <w:numPr>
          <w:ilvl w:val="0"/>
          <w:numId w:val="17"/>
        </w:numPr>
      </w:pPr>
      <w:r>
        <w:t>Steel Toe Boots</w:t>
      </w:r>
    </w:p>
    <w:p w:rsidR="00246C79" w:rsidRDefault="00246C79" w:rsidP="00246C79">
      <w:pPr>
        <w:pStyle w:val="NormalIndent"/>
        <w:numPr>
          <w:ilvl w:val="0"/>
          <w:numId w:val="17"/>
        </w:numPr>
      </w:pPr>
      <w:r>
        <w:t>Gloves</w:t>
      </w:r>
    </w:p>
    <w:p w:rsidR="00246C79" w:rsidRDefault="00653BD0" w:rsidP="00246C79">
      <w:pPr>
        <w:pStyle w:val="NormalIndent"/>
        <w:numPr>
          <w:ilvl w:val="0"/>
          <w:numId w:val="17"/>
        </w:numPr>
      </w:pPr>
      <w:r>
        <w:t>Fire Resistant Clothing (FRC’s)</w:t>
      </w:r>
    </w:p>
    <w:p w:rsidR="00653BD0" w:rsidRDefault="00653BD0" w:rsidP="00246C79">
      <w:pPr>
        <w:pStyle w:val="NormalIndent"/>
        <w:numPr>
          <w:ilvl w:val="0"/>
          <w:numId w:val="17"/>
        </w:numPr>
      </w:pPr>
      <w:r>
        <w:t>Reflective Vest (When working next to roadway)</w:t>
      </w:r>
    </w:p>
    <w:p w:rsidR="00653BD0" w:rsidRPr="00246C79" w:rsidRDefault="00653BD0" w:rsidP="00246C79">
      <w:pPr>
        <w:pStyle w:val="NormalIndent"/>
        <w:numPr>
          <w:ilvl w:val="0"/>
          <w:numId w:val="17"/>
        </w:numPr>
      </w:pPr>
      <w:r>
        <w:t>Personal Gas Monitors (Site Specific)</w:t>
      </w:r>
    </w:p>
    <w:p w:rsidR="0051181D" w:rsidRPr="004D3C04" w:rsidRDefault="0051181D" w:rsidP="00C67E18">
      <w:pPr>
        <w:pStyle w:val="Heading1"/>
        <w:rPr>
          <w:highlight w:val="yellow"/>
        </w:rPr>
      </w:pPr>
      <w:r w:rsidRPr="004D3C04">
        <w:rPr>
          <w:highlight w:val="yellow"/>
        </w:rPr>
        <w:t>forms/Templates to be used</w:t>
      </w:r>
      <w:bookmarkEnd w:id="5"/>
    </w:p>
    <w:p w:rsidR="00653BD0" w:rsidRDefault="00653BD0" w:rsidP="00653BD0">
      <w:pPr>
        <w:pStyle w:val="NormalIndent"/>
        <w:numPr>
          <w:ilvl w:val="0"/>
          <w:numId w:val="17"/>
        </w:numPr>
      </w:pPr>
      <w:r>
        <w:t>JSEA</w:t>
      </w:r>
    </w:p>
    <w:p w:rsidR="00653BD0" w:rsidRDefault="00653BD0" w:rsidP="00653BD0">
      <w:pPr>
        <w:pStyle w:val="NormalIndent"/>
        <w:numPr>
          <w:ilvl w:val="0"/>
          <w:numId w:val="17"/>
        </w:numPr>
      </w:pPr>
      <w:r>
        <w:t>Work Permits (If Required)</w:t>
      </w:r>
    </w:p>
    <w:p w:rsidR="00653BD0" w:rsidRDefault="00653BD0" w:rsidP="00653BD0">
      <w:pPr>
        <w:pStyle w:val="NormalIndent"/>
        <w:numPr>
          <w:ilvl w:val="0"/>
          <w:numId w:val="17"/>
        </w:numPr>
      </w:pPr>
      <w:r>
        <w:t>Client Required Forms</w:t>
      </w:r>
    </w:p>
    <w:p w:rsidR="00422A9D" w:rsidRDefault="00422A9D" w:rsidP="004D3C04">
      <w:pPr>
        <w:pStyle w:val="NormalIndent"/>
      </w:pPr>
    </w:p>
    <w:p w:rsidR="0051181D" w:rsidRDefault="0051181D" w:rsidP="0051181D">
      <w:pPr>
        <w:pStyle w:val="Heading1"/>
      </w:pPr>
      <w:bookmarkStart w:id="6" w:name="_Toc53202747"/>
      <w:r>
        <w:t>internal and external references</w:t>
      </w:r>
      <w:bookmarkEnd w:id="6"/>
    </w:p>
    <w:p w:rsidR="0051181D" w:rsidRDefault="0051181D" w:rsidP="0051181D">
      <w:pPr>
        <w:pStyle w:val="Heading2"/>
      </w:pPr>
      <w:r>
        <w:t>Internal References</w:t>
      </w:r>
    </w:p>
    <w:p w:rsidR="0051181D" w:rsidRDefault="0051181D" w:rsidP="0051181D">
      <w:pPr>
        <w:pStyle w:val="Heading2"/>
      </w:pPr>
      <w:r>
        <w:t>External References</w:t>
      </w:r>
    </w:p>
    <w:p w:rsidR="0051181D" w:rsidRDefault="0051181D" w:rsidP="0051181D">
      <w:pPr>
        <w:pStyle w:val="Heading1"/>
      </w:pPr>
      <w:r>
        <w:t>Change History</w:t>
      </w:r>
    </w:p>
    <w:p w:rsidR="00BC1323" w:rsidRDefault="00BC1323" w:rsidP="00BC1323">
      <w:pPr>
        <w:pStyle w:val="NormalIndent"/>
      </w:pPr>
    </w:p>
    <w:p w:rsidR="00BC1323" w:rsidRDefault="00BC1323" w:rsidP="00BC1323">
      <w:pPr>
        <w:pStyle w:val="NormalIndent"/>
      </w:pPr>
    </w:p>
    <w:p w:rsidR="00BC1323" w:rsidRDefault="00BC1323" w:rsidP="00BC1323">
      <w:pPr>
        <w:pStyle w:val="NormalIndent"/>
      </w:pPr>
    </w:p>
    <w:p w:rsidR="00BC1323" w:rsidRDefault="00BC1323" w:rsidP="00BC1323">
      <w:pPr>
        <w:pStyle w:val="NormalIndent"/>
      </w:pPr>
    </w:p>
    <w:p w:rsidR="00BC1323" w:rsidRPr="00BC1323" w:rsidRDefault="00BC1323" w:rsidP="00BC1323">
      <w:pPr>
        <w:pStyle w:val="NormalIndent"/>
      </w:pPr>
    </w:p>
    <w:p w:rsidR="0051181D" w:rsidRDefault="0051181D" w:rsidP="0051181D">
      <w:pPr>
        <w:pStyle w:val="NormalBullet"/>
        <w:numPr>
          <w:ilvl w:val="0"/>
          <w:numId w:val="0"/>
        </w:numPr>
        <w:ind w:left="1429" w:hanging="709"/>
        <w:rPr>
          <w:highlight w:val="yellow"/>
        </w:rPr>
      </w:pPr>
    </w:p>
    <w:p w:rsidR="005B0479" w:rsidRPr="0051181D" w:rsidRDefault="005B0479" w:rsidP="0051181D"/>
    <w:sectPr w:rsidR="005B0479" w:rsidRPr="0051181D" w:rsidSect="0093334D">
      <w:pgSz w:w="11906" w:h="16838" w:code="9"/>
      <w:pgMar w:top="1418" w:right="1418" w:bottom="1644" w:left="1418" w:header="675"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EF" w:rsidRDefault="000806EF" w:rsidP="003B1D99">
      <w:pPr>
        <w:spacing w:after="0"/>
      </w:pPr>
      <w:r>
        <w:separator/>
      </w:r>
    </w:p>
  </w:endnote>
  <w:endnote w:type="continuationSeparator" w:id="0">
    <w:p w:rsidR="000806EF" w:rsidRDefault="000806EF" w:rsidP="003B1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1D" w:rsidRDefault="0051181D" w:rsidP="00B86289">
    <w:pPr>
      <w:pStyle w:val="Footer"/>
      <w:tabs>
        <w:tab w:val="clear" w:pos="4153"/>
        <w:tab w:val="clear" w:pos="8306"/>
        <w:tab w:val="center" w:pos="4820"/>
        <w:tab w:val="right" w:pos="9498"/>
      </w:tabs>
    </w:pPr>
    <w:r>
      <w:tab/>
      <w:t xml:space="preserve">Page </w:t>
    </w:r>
    <w:r>
      <w:fldChar w:fldCharType="begin"/>
    </w:r>
    <w:r>
      <w:instrText xml:space="preserve"> PAGE </w:instrText>
    </w:r>
    <w:r>
      <w:fldChar w:fldCharType="separate"/>
    </w:r>
    <w:r w:rsidR="004D3C04">
      <w:rPr>
        <w:noProof/>
      </w:rPr>
      <w:t>3</w:t>
    </w:r>
    <w:r>
      <w:fldChar w:fldCharType="end"/>
    </w:r>
    <w:r>
      <w:t xml:space="preserve"> of </w:t>
    </w:r>
    <w:r>
      <w:fldChar w:fldCharType="begin"/>
    </w:r>
    <w:r>
      <w:instrText xml:space="preserve"> NUMPAGES </w:instrText>
    </w:r>
    <w:r>
      <w:fldChar w:fldCharType="separate"/>
    </w:r>
    <w:r w:rsidR="004D3C04">
      <w:rPr>
        <w:noProof/>
      </w:rPr>
      <w:t>5</w:t>
    </w:r>
    <w:r>
      <w:fldChar w:fldCharType="end"/>
    </w:r>
  </w:p>
  <w:p w:rsidR="0051181D" w:rsidRDefault="0051181D">
    <w:pPr>
      <w:pStyle w:val="Footer"/>
      <w:tabs>
        <w:tab w:val="clear" w:pos="8306"/>
        <w:tab w:val="right" w:pos="9498"/>
      </w:tabs>
    </w:pPr>
    <w:r>
      <w:tab/>
    </w:r>
    <w:r>
      <w:rPr>
        <w:sz w:val="16"/>
      </w:rPr>
      <w:t xml:space="preserve"> </w:t>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EF" w:rsidRDefault="000806EF" w:rsidP="003B1D99">
      <w:pPr>
        <w:spacing w:after="0"/>
      </w:pPr>
      <w:r>
        <w:separator/>
      </w:r>
    </w:p>
  </w:footnote>
  <w:footnote w:type="continuationSeparator" w:id="0">
    <w:p w:rsidR="000806EF" w:rsidRDefault="000806EF" w:rsidP="003B1D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3" w:type="dxa"/>
      <w:tblLayout w:type="fixed"/>
      <w:tblLook w:val="0000" w:firstRow="0" w:lastRow="0" w:firstColumn="0" w:lastColumn="0" w:noHBand="0" w:noVBand="0"/>
    </w:tblPr>
    <w:tblGrid>
      <w:gridCol w:w="5816"/>
      <w:gridCol w:w="4417"/>
    </w:tblGrid>
    <w:tr w:rsidR="0051181D" w:rsidTr="00BE5B1F">
      <w:tblPrEx>
        <w:tblCellMar>
          <w:top w:w="0" w:type="dxa"/>
          <w:bottom w:w="0" w:type="dxa"/>
        </w:tblCellMar>
      </w:tblPrEx>
      <w:trPr>
        <w:trHeight w:val="384"/>
      </w:trPr>
      <w:tc>
        <w:tcPr>
          <w:tcW w:w="5816" w:type="dxa"/>
        </w:tcPr>
        <w:p w:rsidR="0051181D" w:rsidRDefault="0051181D">
          <w:pPr>
            <w:rPr>
              <w:b/>
              <w:bCs/>
            </w:rPr>
          </w:pPr>
          <w:r>
            <w:rPr>
              <w:b/>
              <w:bCs/>
            </w:rPr>
            <w:t>STANDARD OPERATING PROCEDURE</w:t>
          </w:r>
        </w:p>
      </w:tc>
      <w:tc>
        <w:tcPr>
          <w:tcW w:w="4417" w:type="dxa"/>
          <w:tcBorders>
            <w:left w:val="nil"/>
          </w:tcBorders>
        </w:tcPr>
        <w:p w:rsidR="0051181D" w:rsidRDefault="00297F4D">
          <w:pPr>
            <w:jc w:val="right"/>
            <w:rPr>
              <w:b/>
              <w:bCs/>
              <w:highlight w:val="yellow"/>
            </w:rPr>
          </w:pPr>
          <w:r w:rsidRPr="00297F4D">
            <w:rPr>
              <w:b/>
              <w:bCs/>
            </w:rPr>
            <w:t>Pipeline</w:t>
          </w:r>
        </w:p>
      </w:tc>
    </w:tr>
    <w:tr w:rsidR="0051181D" w:rsidRPr="00BE5B1F" w:rsidTr="00BE5B1F">
      <w:tblPrEx>
        <w:tblCellMar>
          <w:top w:w="0" w:type="dxa"/>
          <w:bottom w:w="0" w:type="dxa"/>
        </w:tblCellMar>
      </w:tblPrEx>
      <w:trPr>
        <w:cantSplit/>
        <w:trHeight w:val="384"/>
      </w:trPr>
      <w:tc>
        <w:tcPr>
          <w:tcW w:w="5816" w:type="dxa"/>
          <w:vMerge w:val="restart"/>
          <w:vAlign w:val="bottom"/>
        </w:tcPr>
        <w:p w:rsidR="0051181D" w:rsidRDefault="0051181D">
          <w:pPr>
            <w:rPr>
              <w:b/>
              <w:bCs/>
              <w:iCs/>
            </w:rPr>
          </w:pPr>
        </w:p>
      </w:tc>
      <w:tc>
        <w:tcPr>
          <w:tcW w:w="4417" w:type="dxa"/>
          <w:tcBorders>
            <w:left w:val="nil"/>
          </w:tcBorders>
        </w:tcPr>
        <w:p w:rsidR="0051181D" w:rsidRPr="00BE5B1F" w:rsidRDefault="0051181D" w:rsidP="00297F4D">
          <w:pPr>
            <w:jc w:val="right"/>
            <w:rPr>
              <w:b/>
              <w:bCs/>
              <w:highlight w:val="yellow"/>
            </w:rPr>
          </w:pPr>
          <w:r w:rsidRPr="00BE5B1F">
            <w:rPr>
              <w:b/>
              <w:bCs/>
              <w:highlight w:val="yellow"/>
            </w:rPr>
            <w:t xml:space="preserve">SOP No: </w:t>
          </w:r>
          <w:r w:rsidR="00BD79C8" w:rsidRPr="00BE5B1F">
            <w:rPr>
              <w:b/>
              <w:bCs/>
              <w:highlight w:val="yellow"/>
            </w:rPr>
            <w:t>008</w:t>
          </w:r>
          <w:r w:rsidR="00BC1323" w:rsidRPr="00BE5B1F">
            <w:rPr>
              <w:b/>
              <w:bCs/>
              <w:highlight w:val="yellow"/>
            </w:rPr>
            <w:t>-PL</w:t>
          </w:r>
          <w:r w:rsidRPr="00BE5B1F">
            <w:rPr>
              <w:b/>
              <w:bCs/>
              <w:highlight w:val="yellow"/>
            </w:rPr>
            <w:t xml:space="preserve"> </w:t>
          </w:r>
        </w:p>
      </w:tc>
    </w:tr>
    <w:tr w:rsidR="0051181D" w:rsidRPr="00BE5B1F" w:rsidTr="00BE5B1F">
      <w:tblPrEx>
        <w:tblCellMar>
          <w:top w:w="0" w:type="dxa"/>
          <w:bottom w:w="0" w:type="dxa"/>
        </w:tblCellMar>
      </w:tblPrEx>
      <w:trPr>
        <w:cantSplit/>
        <w:trHeight w:val="400"/>
      </w:trPr>
      <w:tc>
        <w:tcPr>
          <w:tcW w:w="5816" w:type="dxa"/>
          <w:vMerge/>
        </w:tcPr>
        <w:p w:rsidR="0051181D" w:rsidRDefault="0051181D">
          <w:pPr>
            <w:rPr>
              <w:b/>
              <w:bCs/>
              <w:i/>
            </w:rPr>
          </w:pPr>
        </w:p>
      </w:tc>
      <w:tc>
        <w:tcPr>
          <w:tcW w:w="4417" w:type="dxa"/>
          <w:tcBorders>
            <w:left w:val="nil"/>
            <w:bottom w:val="nil"/>
          </w:tcBorders>
        </w:tcPr>
        <w:p w:rsidR="0051181D" w:rsidRPr="00BE5B1F" w:rsidRDefault="0051181D" w:rsidP="00BE5B1F">
          <w:pPr>
            <w:ind w:left="-288"/>
            <w:jc w:val="right"/>
            <w:rPr>
              <w:b/>
              <w:bCs/>
              <w:highlight w:val="yellow"/>
            </w:rPr>
          </w:pPr>
          <w:r w:rsidRPr="00BE5B1F">
            <w:rPr>
              <w:b/>
              <w:bCs/>
              <w:highlight w:val="yellow"/>
            </w:rPr>
            <w:t xml:space="preserve"> SOP Title: </w:t>
          </w:r>
          <w:r w:rsidR="00BE5B1F" w:rsidRPr="00BE5B1F">
            <w:rPr>
              <w:b/>
              <w:bCs/>
              <w:highlight w:val="yellow"/>
            </w:rPr>
            <w:t>Setting and Launching Pigs</w:t>
          </w:r>
        </w:p>
      </w:tc>
    </w:tr>
  </w:tbl>
  <w:p w:rsidR="0051181D" w:rsidRDefault="005118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70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B63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F80C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2F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A88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6B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701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0C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1E9688"/>
    <w:lvl w:ilvl="0">
      <w:start w:val="1"/>
      <w:numFmt w:val="decimal"/>
      <w:lvlText w:val="%1."/>
      <w:lvlJc w:val="left"/>
      <w:pPr>
        <w:tabs>
          <w:tab w:val="num" w:pos="360"/>
        </w:tabs>
        <w:ind w:left="360" w:hanging="360"/>
      </w:pPr>
    </w:lvl>
  </w:abstractNum>
  <w:abstractNum w:abstractNumId="9" w15:restartNumberingAfterBreak="0">
    <w:nsid w:val="02FF2834"/>
    <w:multiLevelType w:val="multilevel"/>
    <w:tmpl w:val="79B469F2"/>
    <w:lvl w:ilvl="0">
      <w:start w:val="1"/>
      <w:numFmt w:val="bullet"/>
      <w:lvlRestart w:val="0"/>
      <w:lvlText w:val=""/>
      <w:lvlJc w:val="left"/>
      <w:pPr>
        <w:tabs>
          <w:tab w:val="num" w:pos="1296"/>
        </w:tabs>
        <w:ind w:left="1296" w:hanging="576"/>
      </w:pPr>
      <w:rPr>
        <w:rFonts w:ascii="Symbol" w:hAnsi="Symbol" w:hint="default"/>
        <w:color w:val="auto"/>
      </w:rPr>
    </w:lvl>
    <w:lvl w:ilvl="1">
      <w:start w:val="1"/>
      <w:numFmt w:val="none"/>
      <w:suff w:val="nothing"/>
      <w:lvlText w:val=""/>
      <w:lvlJc w:val="left"/>
      <w:pPr>
        <w:ind w:left="1296" w:firstLine="0"/>
      </w:pPr>
      <w:rPr>
        <w:color w:val="auto"/>
      </w:rPr>
    </w:lvl>
    <w:lvl w:ilvl="2">
      <w:start w:val="1"/>
      <w:numFmt w:val="bullet"/>
      <w:lvlText w:val=""/>
      <w:lvlJc w:val="left"/>
      <w:pPr>
        <w:tabs>
          <w:tab w:val="num" w:pos="1872"/>
        </w:tabs>
        <w:ind w:left="1872" w:hanging="576"/>
      </w:pPr>
      <w:rPr>
        <w:rFonts w:ascii="Symbol" w:hAnsi="Symbol" w:hint="default"/>
        <w:color w:val="auto"/>
      </w:rPr>
    </w:lvl>
    <w:lvl w:ilvl="3">
      <w:start w:val="1"/>
      <w:numFmt w:val="none"/>
      <w:suff w:val="nothing"/>
      <w:lvlText w:val=""/>
      <w:lvlJc w:val="left"/>
      <w:pPr>
        <w:ind w:left="1872" w:firstLine="0"/>
      </w:pPr>
      <w:rPr>
        <w:color w:val="auto"/>
      </w:rPr>
    </w:lvl>
    <w:lvl w:ilvl="4">
      <w:start w:val="1"/>
      <w:numFmt w:val="none"/>
      <w:suff w:val="nothing"/>
      <w:lvlText w:val=""/>
      <w:lvlJc w:val="left"/>
      <w:pPr>
        <w:ind w:left="720" w:firstLine="0"/>
      </w:pPr>
      <w:rPr>
        <w:color w:val="auto"/>
      </w:rPr>
    </w:lvl>
    <w:lvl w:ilvl="5">
      <w:start w:val="1"/>
      <w:numFmt w:val="none"/>
      <w:suff w:val="nothing"/>
      <w:lvlText w:val=""/>
      <w:lvlJc w:val="left"/>
      <w:pPr>
        <w:ind w:left="720" w:firstLine="0"/>
      </w:pPr>
      <w:rPr>
        <w:color w:val="auto"/>
      </w:rPr>
    </w:lvl>
    <w:lvl w:ilvl="6">
      <w:start w:val="1"/>
      <w:numFmt w:val="none"/>
      <w:suff w:val="nothing"/>
      <w:lvlText w:val=""/>
      <w:lvlJc w:val="left"/>
      <w:pPr>
        <w:ind w:left="720" w:firstLine="0"/>
      </w:pPr>
      <w:rPr>
        <w:color w:val="auto"/>
      </w:rPr>
    </w:lvl>
    <w:lvl w:ilvl="7">
      <w:start w:val="1"/>
      <w:numFmt w:val="none"/>
      <w:suff w:val="nothing"/>
      <w:lvlText w:val=""/>
      <w:lvlJc w:val="left"/>
      <w:pPr>
        <w:ind w:left="720" w:firstLine="0"/>
      </w:pPr>
      <w:rPr>
        <w:color w:val="auto"/>
      </w:rPr>
    </w:lvl>
    <w:lvl w:ilvl="8">
      <w:start w:val="1"/>
      <w:numFmt w:val="none"/>
      <w:suff w:val="nothing"/>
      <w:lvlText w:val=""/>
      <w:lvlJc w:val="left"/>
      <w:pPr>
        <w:ind w:left="720" w:firstLine="0"/>
      </w:pPr>
      <w:rPr>
        <w:color w:val="auto"/>
      </w:rPr>
    </w:lvl>
  </w:abstractNum>
  <w:abstractNum w:abstractNumId="10"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1969F7"/>
    <w:multiLevelType w:val="hybridMultilevel"/>
    <w:tmpl w:val="C168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6489A"/>
    <w:multiLevelType w:val="hybridMultilevel"/>
    <w:tmpl w:val="F0FA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57B20"/>
    <w:multiLevelType w:val="hybridMultilevel"/>
    <w:tmpl w:val="0F127D46"/>
    <w:lvl w:ilvl="0" w:tplc="A5A2E0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3F0095"/>
    <w:multiLevelType w:val="hybridMultilevel"/>
    <w:tmpl w:val="063EC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D5C1E"/>
    <w:multiLevelType w:val="hybridMultilevel"/>
    <w:tmpl w:val="7304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F6184"/>
    <w:multiLevelType w:val="hybridMultilevel"/>
    <w:tmpl w:val="84260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0425B8B"/>
    <w:multiLevelType w:val="hybridMultilevel"/>
    <w:tmpl w:val="69F67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3A0041"/>
    <w:multiLevelType w:val="hybridMultilevel"/>
    <w:tmpl w:val="C168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E4309"/>
    <w:multiLevelType w:val="hybridMultilevel"/>
    <w:tmpl w:val="CD2A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E2F47"/>
    <w:multiLevelType w:val="hybridMultilevel"/>
    <w:tmpl w:val="CBAE766C"/>
    <w:lvl w:ilvl="0" w:tplc="A5EA949C">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07139"/>
    <w:multiLevelType w:val="hybridMultilevel"/>
    <w:tmpl w:val="F0FA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62E5C"/>
    <w:multiLevelType w:val="hybridMultilevel"/>
    <w:tmpl w:val="F0FA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82121"/>
    <w:multiLevelType w:val="hybridMultilevel"/>
    <w:tmpl w:val="284C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2D1F33"/>
    <w:multiLevelType w:val="multilevel"/>
    <w:tmpl w:val="819CD84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C617437"/>
    <w:multiLevelType w:val="multilevel"/>
    <w:tmpl w:val="3B629670"/>
    <w:lvl w:ilvl="0">
      <w:start w:val="1"/>
      <w:numFmt w:val="decimal"/>
      <w:lvlText w:val="%1."/>
      <w:lvlJc w:val="left"/>
      <w:pPr>
        <w:tabs>
          <w:tab w:val="num" w:pos="720"/>
        </w:tabs>
        <w:ind w:left="720" w:hanging="720"/>
      </w:pPr>
      <w:rPr>
        <w:rFonts w:ascii="Arial" w:hAnsi="Arial" w:hint="default"/>
        <w:b/>
        <w:i w:val="0"/>
        <w:sz w:val="24"/>
        <w:u w:val="none"/>
      </w:rPr>
    </w:lvl>
    <w:lvl w:ilvl="1">
      <w:start w:val="1"/>
      <w:numFmt w:val="decimal"/>
      <w:lvlText w:val="%1.%2."/>
      <w:lvlJc w:val="left"/>
      <w:pPr>
        <w:tabs>
          <w:tab w:val="num" w:pos="720"/>
        </w:tabs>
        <w:ind w:left="720" w:hanging="720"/>
      </w:pPr>
      <w:rPr>
        <w:b/>
        <w:i w:val="0"/>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134"/>
        </w:tabs>
        <w:ind w:left="1134" w:hanging="1134"/>
      </w:pPr>
      <w:rPr>
        <w:u w:val="none"/>
      </w:rPr>
    </w:lvl>
    <w:lvl w:ilvl="4">
      <w:start w:val="1"/>
      <w:numFmt w:val="decimal"/>
      <w:lvlText w:val="%1.%2.%3.%4.%5."/>
      <w:lvlJc w:val="left"/>
      <w:pPr>
        <w:tabs>
          <w:tab w:val="num" w:pos="1134"/>
        </w:tabs>
        <w:ind w:left="1134" w:hanging="1134"/>
      </w:pPr>
      <w:rPr>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4"/>
  </w:num>
  <w:num w:numId="16">
    <w:abstractNumId w:val="13"/>
  </w:num>
  <w:num w:numId="17">
    <w:abstractNumId w:val="21"/>
  </w:num>
  <w:num w:numId="18">
    <w:abstractNumId w:val="16"/>
  </w:num>
  <w:num w:numId="19">
    <w:abstractNumId w:val="24"/>
  </w:num>
  <w:num w:numId="20">
    <w:abstractNumId w:val="18"/>
  </w:num>
  <w:num w:numId="21">
    <w:abstractNumId w:val="15"/>
  </w:num>
  <w:num w:numId="22">
    <w:abstractNumId w:val="20"/>
  </w:num>
  <w:num w:numId="23">
    <w:abstractNumId w:val="19"/>
  </w:num>
  <w:num w:numId="24">
    <w:abstractNumId w:val="22"/>
  </w:num>
  <w:num w:numId="25">
    <w:abstractNumId w:val="11"/>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0B"/>
    <w:rsid w:val="00064FF7"/>
    <w:rsid w:val="0007625A"/>
    <w:rsid w:val="000806EF"/>
    <w:rsid w:val="00090D08"/>
    <w:rsid w:val="00151467"/>
    <w:rsid w:val="0019477E"/>
    <w:rsid w:val="001B06AD"/>
    <w:rsid w:val="001B4967"/>
    <w:rsid w:val="001B4CEA"/>
    <w:rsid w:val="001C0629"/>
    <w:rsid w:val="001D7E4A"/>
    <w:rsid w:val="002023E4"/>
    <w:rsid w:val="002307A2"/>
    <w:rsid w:val="00246C79"/>
    <w:rsid w:val="00297F4D"/>
    <w:rsid w:val="00347E9D"/>
    <w:rsid w:val="003B1D99"/>
    <w:rsid w:val="003C4C09"/>
    <w:rsid w:val="00422A9D"/>
    <w:rsid w:val="004845D8"/>
    <w:rsid w:val="004C25B6"/>
    <w:rsid w:val="004D3C04"/>
    <w:rsid w:val="005002B4"/>
    <w:rsid w:val="0051181D"/>
    <w:rsid w:val="005B0479"/>
    <w:rsid w:val="00643C78"/>
    <w:rsid w:val="00653BD0"/>
    <w:rsid w:val="00673983"/>
    <w:rsid w:val="00684378"/>
    <w:rsid w:val="006B2A4B"/>
    <w:rsid w:val="00734C31"/>
    <w:rsid w:val="00774EF9"/>
    <w:rsid w:val="007E5BFB"/>
    <w:rsid w:val="00837958"/>
    <w:rsid w:val="008C281C"/>
    <w:rsid w:val="0093334D"/>
    <w:rsid w:val="00943EFC"/>
    <w:rsid w:val="009E3E20"/>
    <w:rsid w:val="00A45EBE"/>
    <w:rsid w:val="00A5436A"/>
    <w:rsid w:val="00AB2033"/>
    <w:rsid w:val="00AD47B9"/>
    <w:rsid w:val="00B26E0B"/>
    <w:rsid w:val="00B66F8E"/>
    <w:rsid w:val="00B86289"/>
    <w:rsid w:val="00BC1323"/>
    <w:rsid w:val="00BC1DCF"/>
    <w:rsid w:val="00BC70B3"/>
    <w:rsid w:val="00BD79C8"/>
    <w:rsid w:val="00BE5B1F"/>
    <w:rsid w:val="00C67E18"/>
    <w:rsid w:val="00C95AA5"/>
    <w:rsid w:val="00CD4AA5"/>
    <w:rsid w:val="00D62C2E"/>
    <w:rsid w:val="00D71B1F"/>
    <w:rsid w:val="00E16392"/>
    <w:rsid w:val="00E17F3A"/>
    <w:rsid w:val="00F11349"/>
    <w:rsid w:val="00F1564C"/>
    <w:rsid w:val="00F67B7C"/>
    <w:rsid w:val="00F8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B23C3-8585-41C3-962E-0FF8C96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EA"/>
    <w:pPr>
      <w:spacing w:after="120"/>
    </w:pPr>
    <w:rPr>
      <w:rFonts w:ascii="Arial" w:eastAsia="Times New Roman" w:hAnsi="Arial"/>
      <w:sz w:val="22"/>
      <w:lang w:val="en-GB"/>
    </w:rPr>
  </w:style>
  <w:style w:type="paragraph" w:styleId="Heading1">
    <w:name w:val="heading 1"/>
    <w:basedOn w:val="Normal"/>
    <w:next w:val="NormalIndent"/>
    <w:link w:val="Heading1Char"/>
    <w:qFormat/>
    <w:rsid w:val="00B26E0B"/>
    <w:pPr>
      <w:keepNext/>
      <w:numPr>
        <w:numId w:val="1"/>
      </w:numPr>
      <w:spacing w:before="240"/>
      <w:outlineLvl w:val="0"/>
    </w:pPr>
    <w:rPr>
      <w:b/>
      <w:caps/>
      <w:kern w:val="28"/>
      <w:sz w:val="24"/>
    </w:rPr>
  </w:style>
  <w:style w:type="paragraph" w:styleId="Heading2">
    <w:name w:val="heading 2"/>
    <w:basedOn w:val="Normal"/>
    <w:next w:val="NormalIndent"/>
    <w:link w:val="Heading2Char"/>
    <w:qFormat/>
    <w:rsid w:val="00B26E0B"/>
    <w:pPr>
      <w:keepNext/>
      <w:numPr>
        <w:ilvl w:val="1"/>
        <w:numId w:val="1"/>
      </w:numPr>
      <w:spacing w:before="240" w:after="60"/>
      <w:jc w:val="both"/>
      <w:outlineLvl w:val="1"/>
    </w:pPr>
    <w:rPr>
      <w:b/>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semiHidden/>
    <w:unhideWhenUsed/>
    <w:qFormat/>
    <w:rsid w:val="005118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6E0B"/>
    <w:rPr>
      <w:rFonts w:ascii="Arial" w:eastAsia="Times New Roman" w:hAnsi="Arial" w:cs="Times New Roman"/>
      <w:b/>
      <w:caps/>
      <w:kern w:val="28"/>
      <w:sz w:val="24"/>
      <w:szCs w:val="20"/>
    </w:rPr>
  </w:style>
  <w:style w:type="character" w:customStyle="1" w:styleId="Heading2Char">
    <w:name w:val="Heading 2 Char"/>
    <w:link w:val="Heading2"/>
    <w:rsid w:val="00B26E0B"/>
    <w:rPr>
      <w:rFonts w:ascii="Arial" w:eastAsia="Times New Roman" w:hAnsi="Arial" w:cs="Times New Roman"/>
      <w:b/>
      <w:szCs w:val="20"/>
    </w:rPr>
  </w:style>
  <w:style w:type="character" w:customStyle="1" w:styleId="Heading3Char">
    <w:name w:val="Heading 3 Char"/>
    <w:link w:val="Heading3"/>
    <w:rsid w:val="00B26E0B"/>
    <w:rPr>
      <w:rFonts w:ascii="Arial" w:eastAsia="Times New Roman" w:hAnsi="Arial" w:cs="Times New Roman"/>
      <w:szCs w:val="20"/>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semiHidden/>
    <w:rsid w:val="00F11349"/>
    <w:pPr>
      <w:tabs>
        <w:tab w:val="center" w:pos="4153"/>
        <w:tab w:val="right" w:pos="8306"/>
      </w:tabs>
      <w:spacing w:after="0"/>
    </w:pPr>
  </w:style>
  <w:style w:type="character" w:customStyle="1" w:styleId="FooterChar">
    <w:name w:val="Footer Char"/>
    <w:link w:val="Footer"/>
    <w:semiHidden/>
    <w:rsid w:val="00F11349"/>
    <w:rPr>
      <w:rFonts w:ascii="Arial" w:eastAsia="Times New Roman" w:hAnsi="Arial"/>
      <w:sz w:val="22"/>
      <w:lang w:eastAsia="en-US"/>
    </w:rPr>
  </w:style>
  <w:style w:type="character" w:styleId="Hyperlink">
    <w:name w:val="Hyperlink"/>
    <w:semiHidden/>
    <w:rsid w:val="00F11349"/>
    <w:rPr>
      <w:color w:val="0000FF"/>
      <w:u w:val="single"/>
    </w:rPr>
  </w:style>
  <w:style w:type="paragraph" w:styleId="TOC1">
    <w:name w:val="toc 1"/>
    <w:basedOn w:val="Normal"/>
    <w:next w:val="Normal"/>
    <w:autoRedefine/>
    <w:semiHidden/>
    <w:rsid w:val="00F11349"/>
    <w:pPr>
      <w:tabs>
        <w:tab w:val="left" w:pos="480"/>
        <w:tab w:val="right" w:leader="dot" w:pos="9548"/>
      </w:tabs>
      <w:spacing w:before="40" w:after="40"/>
    </w:pPr>
    <w:rPr>
      <w:caps/>
      <w:sz w:val="24"/>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semiHidden/>
    <w:rsid w:val="0051181D"/>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Watson</dc:creator>
  <cp:keywords/>
  <cp:lastModifiedBy>Ethan Leblanc</cp:lastModifiedBy>
  <cp:revision>2</cp:revision>
  <dcterms:created xsi:type="dcterms:W3CDTF">2018-07-12T21:16:00Z</dcterms:created>
  <dcterms:modified xsi:type="dcterms:W3CDTF">2018-07-12T21:16:00Z</dcterms:modified>
</cp:coreProperties>
</file>